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2E92F" w14:textId="77777777" w:rsidR="008D0987" w:rsidRPr="00A10502" w:rsidRDefault="008D0987" w:rsidP="00A10502">
      <w:pPr>
        <w:spacing w:line="480" w:lineRule="auto"/>
      </w:pPr>
      <w:r w:rsidRPr="00A10502">
        <w:t xml:space="preserve">Running head: </w:t>
      </w:r>
      <w:r w:rsidR="003F2205" w:rsidRPr="00A10502">
        <w:t>Learning about Obesity Genes</w:t>
      </w:r>
    </w:p>
    <w:p w14:paraId="5F88724F" w14:textId="77777777" w:rsidR="008D0987" w:rsidRPr="00A10502" w:rsidRDefault="008D0987" w:rsidP="00A10502">
      <w:pPr>
        <w:spacing w:line="480" w:lineRule="auto"/>
        <w:jc w:val="center"/>
      </w:pPr>
    </w:p>
    <w:p w14:paraId="1096306C" w14:textId="77777777" w:rsidR="00EF3F88" w:rsidRPr="00A10502" w:rsidRDefault="00EF3F88" w:rsidP="00A10502">
      <w:pPr>
        <w:spacing w:line="480" w:lineRule="auto"/>
        <w:jc w:val="center"/>
      </w:pPr>
      <w:r w:rsidRPr="00A10502">
        <w:t xml:space="preserve">Can Merely Learning about Obesity Genes </w:t>
      </w:r>
      <w:r w:rsidR="00A01EAF">
        <w:t>Affect Eating Behavior</w:t>
      </w:r>
      <w:r w:rsidRPr="00A10502">
        <w:t>?</w:t>
      </w:r>
    </w:p>
    <w:p w14:paraId="6CCC4C0A" w14:textId="77777777" w:rsidR="008D0987" w:rsidRPr="00A10502" w:rsidRDefault="008D0987" w:rsidP="00A10502">
      <w:pPr>
        <w:spacing w:line="480" w:lineRule="auto"/>
        <w:jc w:val="center"/>
      </w:pPr>
    </w:p>
    <w:p w14:paraId="748E0D4C" w14:textId="77777777" w:rsidR="008D0987" w:rsidRPr="00A10502" w:rsidRDefault="008D0987" w:rsidP="00A10502">
      <w:pPr>
        <w:spacing w:line="480" w:lineRule="auto"/>
        <w:jc w:val="center"/>
      </w:pPr>
      <w:r w:rsidRPr="00A10502">
        <w:t>Dar-Nimrod, Ilan</w:t>
      </w:r>
      <w:r w:rsidRPr="00A10502">
        <w:rPr>
          <w:vertAlign w:val="superscript"/>
        </w:rPr>
        <w:t>1</w:t>
      </w:r>
      <w:r w:rsidRPr="00A10502">
        <w:t xml:space="preserve">, </w:t>
      </w:r>
      <w:r w:rsidR="006D1A02" w:rsidRPr="00A10502">
        <w:t>Cheung</w:t>
      </w:r>
      <w:r w:rsidR="00D01AE0">
        <w:t>,</w:t>
      </w:r>
      <w:r w:rsidR="006D1A02" w:rsidRPr="00A10502">
        <w:t xml:space="preserve"> Ben</w:t>
      </w:r>
      <w:r w:rsidR="00AD0B91" w:rsidRPr="00A10502">
        <w:t>jamin</w:t>
      </w:r>
      <w:r w:rsidR="006D1A02" w:rsidRPr="00A10502">
        <w:t xml:space="preserve"> </w:t>
      </w:r>
      <w:r w:rsidR="008263EF" w:rsidRPr="00A10502">
        <w:t>Y</w:t>
      </w:r>
      <w:r w:rsidR="006D1A02" w:rsidRPr="00A10502">
        <w:t>.</w:t>
      </w:r>
      <w:r w:rsidR="006D1A02" w:rsidRPr="00A10502">
        <w:rPr>
          <w:vertAlign w:val="superscript"/>
        </w:rPr>
        <w:t>2</w:t>
      </w:r>
      <w:r w:rsidR="006D1A02" w:rsidRPr="00A10502">
        <w:t xml:space="preserve">, </w:t>
      </w:r>
      <w:r w:rsidRPr="00A10502">
        <w:t>Ruby, Matthew B.</w:t>
      </w:r>
      <w:r w:rsidR="000B61F6" w:rsidRPr="00A10502">
        <w:rPr>
          <w:vertAlign w:val="superscript"/>
        </w:rPr>
        <w:t>3</w:t>
      </w:r>
      <w:r w:rsidRPr="00A10502">
        <w:t>, &amp; Heine, Steven J.</w:t>
      </w:r>
      <w:r w:rsidRPr="00A10502">
        <w:rPr>
          <w:vertAlign w:val="superscript"/>
        </w:rPr>
        <w:t>2</w:t>
      </w:r>
    </w:p>
    <w:p w14:paraId="08A10B95" w14:textId="77777777" w:rsidR="008D0987" w:rsidRPr="00A10502" w:rsidRDefault="008D0987" w:rsidP="00A10502">
      <w:pPr>
        <w:spacing w:line="480" w:lineRule="auto"/>
      </w:pPr>
    </w:p>
    <w:p w14:paraId="2546070E" w14:textId="77777777" w:rsidR="008D0987" w:rsidRPr="00A10502" w:rsidRDefault="008D0987" w:rsidP="00A10502">
      <w:pPr>
        <w:spacing w:line="480" w:lineRule="auto"/>
      </w:pPr>
      <w:r w:rsidRPr="00A10502">
        <w:t xml:space="preserve">1 </w:t>
      </w:r>
      <w:r w:rsidR="006D1A02" w:rsidRPr="00A10502">
        <w:t>University of Sydney</w:t>
      </w:r>
    </w:p>
    <w:p w14:paraId="0A897935" w14:textId="77777777" w:rsidR="008D0987" w:rsidRPr="00A10502" w:rsidRDefault="008D0987" w:rsidP="00A10502">
      <w:pPr>
        <w:spacing w:line="480" w:lineRule="auto"/>
      </w:pPr>
      <w:r w:rsidRPr="00A10502">
        <w:t>2 University of British Columbia</w:t>
      </w:r>
    </w:p>
    <w:p w14:paraId="56FBA6EA" w14:textId="77777777" w:rsidR="000B61F6" w:rsidRPr="00A10502" w:rsidRDefault="009F2094" w:rsidP="00A10502">
      <w:pPr>
        <w:spacing w:line="480" w:lineRule="auto"/>
      </w:pPr>
      <w:r w:rsidRPr="00A10502">
        <w:t>3</w:t>
      </w:r>
      <w:r w:rsidR="00CA7C31" w:rsidRPr="00A10502">
        <w:t xml:space="preserve"> </w:t>
      </w:r>
      <w:r w:rsidR="000B61F6" w:rsidRPr="00A10502">
        <w:t>University of Pennsylvania</w:t>
      </w:r>
    </w:p>
    <w:p w14:paraId="0F3F55D9" w14:textId="77777777" w:rsidR="008D0987" w:rsidRDefault="008D0987">
      <w:pPr>
        <w:spacing w:line="480" w:lineRule="auto"/>
        <w:ind w:firstLine="709"/>
        <w:rPr>
          <w:rFonts w:ascii="Arial" w:hAnsi="Arial" w:cs="Arial"/>
          <w:sz w:val="22"/>
          <w:szCs w:val="22"/>
        </w:rPr>
      </w:pPr>
    </w:p>
    <w:p w14:paraId="0BCD1C75" w14:textId="77777777" w:rsidR="008D0987" w:rsidRDefault="008D0987">
      <w:pPr>
        <w:pStyle w:val="BodyText"/>
      </w:pPr>
      <w:r>
        <w:t>Corresponding author:</w:t>
      </w:r>
    </w:p>
    <w:p w14:paraId="56C977F0" w14:textId="77777777" w:rsidR="008D0987" w:rsidRDefault="008D0987">
      <w:pPr>
        <w:pStyle w:val="BodyText"/>
      </w:pPr>
      <w:r>
        <w:t>Ilan Dar-Nimrod</w:t>
      </w:r>
    </w:p>
    <w:p w14:paraId="0A0B1E50" w14:textId="77777777" w:rsidR="008D0987" w:rsidRDefault="006D1A02">
      <w:pPr>
        <w:pStyle w:val="BodyText"/>
      </w:pPr>
      <w:r>
        <w:t>School of Psychology</w:t>
      </w:r>
    </w:p>
    <w:p w14:paraId="67969AA8" w14:textId="77777777" w:rsidR="008D0987" w:rsidRDefault="006D1A02">
      <w:pPr>
        <w:pStyle w:val="BodyText"/>
        <w:rPr>
          <w:lang w:val="de-DE"/>
        </w:rPr>
      </w:pPr>
      <w:r>
        <w:rPr>
          <w:lang w:val="de-DE"/>
        </w:rPr>
        <w:t>Brennan MacCallum Bldg (A18)</w:t>
      </w:r>
    </w:p>
    <w:p w14:paraId="17B816B2" w14:textId="77777777" w:rsidR="008D0987" w:rsidRDefault="0056550A">
      <w:pPr>
        <w:pStyle w:val="BodyText"/>
        <w:rPr>
          <w:lang w:val="de-DE"/>
        </w:rPr>
      </w:pPr>
      <w:r>
        <w:rPr>
          <w:lang w:val="de-DE"/>
        </w:rPr>
        <w:t xml:space="preserve">University of </w:t>
      </w:r>
      <w:r w:rsidR="006D1A02">
        <w:rPr>
          <w:lang w:val="de-DE"/>
        </w:rPr>
        <w:t>Sydney, NSW 2006</w:t>
      </w:r>
    </w:p>
    <w:p w14:paraId="0C4B6137" w14:textId="77777777" w:rsidR="006D1A02" w:rsidRDefault="006D1A02">
      <w:pPr>
        <w:pStyle w:val="BodyText"/>
        <w:rPr>
          <w:lang w:val="de-DE"/>
        </w:rPr>
      </w:pPr>
      <w:r>
        <w:rPr>
          <w:lang w:val="de-DE"/>
        </w:rPr>
        <w:t>Australia</w:t>
      </w:r>
    </w:p>
    <w:p w14:paraId="42DD3773" w14:textId="77777777" w:rsidR="008D0987" w:rsidRDefault="006D1A02">
      <w:pPr>
        <w:pStyle w:val="BodyText"/>
        <w:rPr>
          <w:lang w:val="pt-BR"/>
        </w:rPr>
      </w:pPr>
      <w:r>
        <w:rPr>
          <w:lang w:val="pt-BR"/>
        </w:rPr>
        <w:t>Ph: +61-2-9351-2908</w:t>
      </w:r>
    </w:p>
    <w:p w14:paraId="3BA500A8" w14:textId="77777777" w:rsidR="008D0987" w:rsidRDefault="008D0987">
      <w:pPr>
        <w:pStyle w:val="BodyText"/>
        <w:rPr>
          <w:lang w:val="pt-BR"/>
        </w:rPr>
      </w:pPr>
      <w:r>
        <w:rPr>
          <w:lang w:val="pt-BR"/>
        </w:rPr>
        <w:t>e-mail: ilan</w:t>
      </w:r>
      <w:r w:rsidR="0056550A">
        <w:rPr>
          <w:lang w:val="pt-BR"/>
        </w:rPr>
        <w:t>.</w:t>
      </w:r>
      <w:r>
        <w:rPr>
          <w:lang w:val="pt-BR"/>
        </w:rPr>
        <w:t>dar-nimrod@</w:t>
      </w:r>
      <w:r w:rsidR="0056550A">
        <w:rPr>
          <w:lang w:val="pt-BR"/>
        </w:rPr>
        <w:t>sydney</w:t>
      </w:r>
      <w:r>
        <w:rPr>
          <w:lang w:val="pt-BR"/>
        </w:rPr>
        <w:t>.edu</w:t>
      </w:r>
      <w:r w:rsidR="0056550A">
        <w:rPr>
          <w:lang w:val="pt-BR"/>
        </w:rPr>
        <w:t>.au</w:t>
      </w:r>
    </w:p>
    <w:p w14:paraId="44170A9E" w14:textId="77777777" w:rsidR="008D0987" w:rsidRPr="0050322B" w:rsidRDefault="008D0987">
      <w:pPr>
        <w:spacing w:line="480" w:lineRule="auto"/>
        <w:ind w:firstLine="709"/>
        <w:rPr>
          <w:rFonts w:ascii="Arial" w:hAnsi="Arial" w:cs="Arial"/>
          <w:sz w:val="22"/>
          <w:szCs w:val="22"/>
          <w:lang w:val="pt-BR"/>
        </w:rPr>
      </w:pPr>
    </w:p>
    <w:p w14:paraId="48AE40EB" w14:textId="77777777" w:rsidR="006C2F6D" w:rsidRPr="007F0B6E" w:rsidRDefault="006C2F6D" w:rsidP="006C2F6D">
      <w:pPr>
        <w:spacing w:line="480" w:lineRule="auto"/>
        <w:ind w:firstLine="709"/>
        <w:jc w:val="center"/>
        <w:rPr>
          <w:rFonts w:ascii="Times" w:hAnsi="Times" w:cs="Arial"/>
          <w:sz w:val="22"/>
          <w:szCs w:val="22"/>
          <w:lang w:val="pt-BR"/>
        </w:rPr>
      </w:pPr>
      <w:r w:rsidRPr="007F0B6E">
        <w:rPr>
          <w:rFonts w:ascii="Times" w:hAnsi="Times" w:cs="Arial"/>
          <w:sz w:val="22"/>
          <w:szCs w:val="22"/>
          <w:lang w:val="pt-BR"/>
        </w:rPr>
        <w:t xml:space="preserve">(in press) </w:t>
      </w:r>
      <w:r w:rsidRPr="007F0B6E">
        <w:rPr>
          <w:rFonts w:ascii="Times" w:hAnsi="Times" w:cs="Arial"/>
          <w:i/>
          <w:sz w:val="22"/>
          <w:szCs w:val="22"/>
          <w:lang w:val="pt-BR"/>
        </w:rPr>
        <w:t>Appetite</w:t>
      </w:r>
    </w:p>
    <w:p w14:paraId="79AEB434" w14:textId="77777777" w:rsidR="00AA0CD7" w:rsidRDefault="00AA0CD7" w:rsidP="000F7AF2">
      <w:pPr>
        <w:pageBreakBefore/>
        <w:spacing w:line="480" w:lineRule="auto"/>
        <w:jc w:val="center"/>
        <w:rPr>
          <w:rFonts w:cs="Times New Roman"/>
          <w:b/>
        </w:rPr>
      </w:pPr>
      <w:bookmarkStart w:id="0" w:name="_GoBack"/>
      <w:bookmarkEnd w:id="0"/>
      <w:r>
        <w:rPr>
          <w:rFonts w:cs="Times New Roman"/>
          <w:b/>
        </w:rPr>
        <w:lastRenderedPageBreak/>
        <w:t>Abstract</w:t>
      </w:r>
    </w:p>
    <w:p w14:paraId="3E4426C7" w14:textId="77777777" w:rsidR="00AA0CD7" w:rsidRDefault="00AA0CD7">
      <w:pPr>
        <w:spacing w:line="480" w:lineRule="auto"/>
      </w:pPr>
      <w:r>
        <w:t xml:space="preserve">Public discourse on genetic predispositions for obesity has flourished in recent decades. In </w:t>
      </w:r>
      <w:r w:rsidR="0056550A">
        <w:t>three</w:t>
      </w:r>
      <w:r>
        <w:t xml:space="preserve"> studies, we investigated behaviorally-relevant correlates and consequences of </w:t>
      </w:r>
      <w:r w:rsidR="000B61F6">
        <w:t xml:space="preserve">a </w:t>
      </w:r>
      <w:r>
        <w:t xml:space="preserve">perceived genetic etiology for obesity. In Study 1, beliefs about etiological explanations for obesity were assessed. Stronger endorsement of genetic etiology was predictive of a belief that obese people have no control over their weight. In Study 2, </w:t>
      </w:r>
      <w:r w:rsidR="0056550A">
        <w:t xml:space="preserve">beliefs about weight and its causes were assessed following a manipulation of the perceived underlying cause. Compared with </w:t>
      </w:r>
      <w:r w:rsidR="000D1EA4">
        <w:t xml:space="preserve">a </w:t>
      </w:r>
      <w:r w:rsidR="0056550A">
        <w:t>genetic attribution, a</w:t>
      </w:r>
      <w:r w:rsidR="00D7720B">
        <w:t xml:space="preserve"> non-genetic physiological </w:t>
      </w:r>
      <w:r w:rsidR="0056550A">
        <w:t xml:space="preserve">attribution led to increased perception of control over one’s weight. In Study 3, </w:t>
      </w:r>
      <w:r>
        <w:t>participants read a fictional media report</w:t>
      </w:r>
      <w:r w:rsidR="000D1EA4">
        <w:t xml:space="preserve"> presenting either </w:t>
      </w:r>
      <w:r w:rsidR="004A7D81">
        <w:t xml:space="preserve">a </w:t>
      </w:r>
      <w:r w:rsidR="000D1EA4">
        <w:t>genetic explanation, a psychosocial explanation, or no explanation (control) for obesity</w:t>
      </w:r>
      <w:r>
        <w:t xml:space="preserve">. Results indicated that participants who read the genetic explanation ate significantly more on a follow-up task. Taken together, these studies demonstrate potential </w:t>
      </w:r>
      <w:r w:rsidR="00E71EF2">
        <w:t>effects</w:t>
      </w:r>
      <w:r>
        <w:t xml:space="preserve"> of genetic attributions for obesity. </w:t>
      </w:r>
    </w:p>
    <w:p w14:paraId="57906BBF" w14:textId="77777777" w:rsidR="00FA5256" w:rsidRDefault="00FA5256">
      <w:pPr>
        <w:spacing w:line="480" w:lineRule="auto"/>
      </w:pPr>
    </w:p>
    <w:p w14:paraId="5A8254DA" w14:textId="77777777" w:rsidR="00FA5256" w:rsidRDefault="002A00F9">
      <w:pPr>
        <w:spacing w:line="480" w:lineRule="auto"/>
      </w:pPr>
      <w:r>
        <w:t>Keywords:</w:t>
      </w:r>
      <w:r w:rsidR="00FA5256">
        <w:t xml:space="preserve"> Genetic essentialism</w:t>
      </w:r>
      <w:r w:rsidR="008B3767">
        <w:t>;</w:t>
      </w:r>
      <w:r w:rsidR="00FA5256">
        <w:t xml:space="preserve"> etiological explanation</w:t>
      </w:r>
      <w:r w:rsidR="008B3767">
        <w:t>s</w:t>
      </w:r>
      <w:r w:rsidR="00FA5256">
        <w:t xml:space="preserve"> for obesity</w:t>
      </w:r>
      <w:r w:rsidR="008B3767">
        <w:t>;</w:t>
      </w:r>
      <w:r w:rsidR="00FA5256">
        <w:t xml:space="preserve"> genetic attributions</w:t>
      </w:r>
      <w:r w:rsidR="008B3767">
        <w:t>;</w:t>
      </w:r>
      <w:r w:rsidR="00FA5256">
        <w:t xml:space="preserve"> overeating behavior</w:t>
      </w:r>
      <w:r w:rsidR="008B3767">
        <w:t>;</w:t>
      </w:r>
      <w:r w:rsidR="00FA5256">
        <w:t xml:space="preserve"> perceived control</w:t>
      </w:r>
    </w:p>
    <w:p w14:paraId="54FE2090" w14:textId="77777777" w:rsidR="00AA0CD7" w:rsidRDefault="00AA0CD7">
      <w:pPr>
        <w:spacing w:line="480" w:lineRule="auto"/>
        <w:rPr>
          <w:rFonts w:ascii="Arial" w:hAnsi="Arial" w:cs="Arial"/>
          <w:sz w:val="22"/>
          <w:szCs w:val="22"/>
        </w:rPr>
      </w:pPr>
    </w:p>
    <w:p w14:paraId="34340756" w14:textId="77777777" w:rsidR="002F6305" w:rsidRDefault="002F6305">
      <w:pPr>
        <w:widowControl/>
        <w:suppressAutoHyphens w:val="0"/>
        <w:rPr>
          <w:rFonts w:ascii="Arial" w:hAnsi="Arial" w:cs="Arial"/>
          <w:sz w:val="22"/>
          <w:szCs w:val="22"/>
        </w:rPr>
      </w:pPr>
      <w:r>
        <w:rPr>
          <w:rFonts w:ascii="Arial" w:hAnsi="Arial" w:cs="Arial"/>
          <w:sz w:val="22"/>
          <w:szCs w:val="22"/>
        </w:rPr>
        <w:br w:type="page"/>
      </w:r>
    </w:p>
    <w:p w14:paraId="4B0A2B9C" w14:textId="77777777" w:rsidR="003F2205" w:rsidRPr="00A10502" w:rsidRDefault="003F2205" w:rsidP="003F2205">
      <w:pPr>
        <w:spacing w:line="480" w:lineRule="auto"/>
        <w:ind w:firstLine="709"/>
        <w:jc w:val="center"/>
        <w:rPr>
          <w:rFonts w:cs="Times New Roman"/>
          <w:b/>
        </w:rPr>
      </w:pPr>
      <w:r w:rsidRPr="00A10502">
        <w:rPr>
          <w:rFonts w:cs="Times New Roman"/>
          <w:b/>
        </w:rPr>
        <w:lastRenderedPageBreak/>
        <w:t xml:space="preserve">Can Merely Learning about Obesity Genes </w:t>
      </w:r>
      <w:r w:rsidR="00A01EAF">
        <w:rPr>
          <w:rFonts w:cs="Times New Roman"/>
          <w:b/>
        </w:rPr>
        <w:t>Affect Eating Behavior</w:t>
      </w:r>
      <w:r w:rsidRPr="00A10502">
        <w:rPr>
          <w:rFonts w:cs="Times New Roman"/>
          <w:b/>
        </w:rPr>
        <w:t>?</w:t>
      </w:r>
    </w:p>
    <w:p w14:paraId="6037D071" w14:textId="77777777" w:rsidR="00AA0CD7" w:rsidRDefault="00AA0CD7">
      <w:pPr>
        <w:spacing w:line="480" w:lineRule="auto"/>
        <w:ind w:firstLine="709"/>
      </w:pPr>
      <w:r>
        <w:rPr>
          <w:i/>
        </w:rPr>
        <w:t>“</w:t>
      </w:r>
      <w:r>
        <w:t>Battle your biology? Fat chance” lamented a headline in the</w:t>
      </w:r>
      <w:r>
        <w:rPr>
          <w:i/>
        </w:rPr>
        <w:t xml:space="preserve"> New York Post</w:t>
      </w:r>
      <w:r>
        <w:t xml:space="preserve">, which provided a range of evidence indicating that people’s genes largely determine their weight, implicitly and explicitly suggesting that the attempt to control one’s weight is a futile endeavor (Cohen, 2000).  In the science sections of respectable newspapers, one frequently finds such deterministic headlines followed by fatalistic portrayals of genetic involvement in obesity (e.g., </w:t>
      </w:r>
      <w:r w:rsidR="00F50217">
        <w:t>Devlin, 2013; Kolata, 2007</w:t>
      </w:r>
      <w:r>
        <w:t>).</w:t>
      </w:r>
    </w:p>
    <w:p w14:paraId="584477E9" w14:textId="77777777" w:rsidR="00AA0CD7" w:rsidRDefault="00AA0CD7">
      <w:pPr>
        <w:spacing w:line="480" w:lineRule="auto"/>
        <w:ind w:firstLine="709"/>
      </w:pPr>
      <w:r>
        <w:t xml:space="preserve">The attractiveness of such genetic explanations for obesity </w:t>
      </w:r>
      <w:r w:rsidR="0095458B">
        <w:t xml:space="preserve">is rooted </w:t>
      </w:r>
      <w:r>
        <w:t xml:space="preserve">arguably </w:t>
      </w:r>
      <w:r w:rsidR="0095458B">
        <w:t>in</w:t>
      </w:r>
      <w:r>
        <w:t xml:space="preserve"> people’s common perceptions that genes are the locus of the essence of individuals and groups (Dar-Nimrod &amp; Heine, </w:t>
      </w:r>
      <w:r w:rsidR="0095458B">
        <w:t>2011</w:t>
      </w:r>
      <w:r>
        <w:t xml:space="preserve">), but it may also be facilitated by the growing body of relevant obesity research.  </w:t>
      </w:r>
      <w:r w:rsidR="004651AE">
        <w:t xml:space="preserve">In fact, among the obesity-related research projects funded by the </w:t>
      </w:r>
      <w:r>
        <w:t>National Institute</w:t>
      </w:r>
      <w:r w:rsidR="00D7720B">
        <w:t>s</w:t>
      </w:r>
      <w:r>
        <w:t xml:space="preserve"> of Health, the percentage of abstracts containing the term “gene” </w:t>
      </w:r>
      <w:r w:rsidR="00A11B68">
        <w:t xml:space="preserve">steadily </w:t>
      </w:r>
      <w:r>
        <w:t>increased from 15% during the 1991-1993 period to 37% during the 2009-2011 period</w:t>
      </w:r>
      <w:r w:rsidR="006C7E72">
        <w:t xml:space="preserve"> (</w:t>
      </w:r>
      <w:r w:rsidR="00164CFF">
        <w:t xml:space="preserve">Dar-Nimrod, unpublished data; </w:t>
      </w:r>
      <w:r w:rsidR="006C7E72">
        <w:t>available upon request)</w:t>
      </w:r>
      <w:r>
        <w:t xml:space="preserve">.  This increase in funding </w:t>
      </w:r>
      <w:r w:rsidR="006C7E72">
        <w:t>is</w:t>
      </w:r>
      <w:r>
        <w:t xml:space="preserve"> reflected in a plethora of genetics-focused articles on obesity </w:t>
      </w:r>
      <w:r w:rsidR="006C7E72">
        <w:t xml:space="preserve">continuously </w:t>
      </w:r>
      <w:r>
        <w:t xml:space="preserve">published in premiere scientific journals (e.g., Frayling et al., 2007; </w:t>
      </w:r>
      <w:r w:rsidR="00BF574E">
        <w:t>Pearce</w:t>
      </w:r>
      <w:r>
        <w:t xml:space="preserve"> et al., </w:t>
      </w:r>
      <w:r w:rsidR="007A6584">
        <w:t>2013</w:t>
      </w:r>
      <w:r>
        <w:t xml:space="preserve">).  The increase in research and media attention to </w:t>
      </w:r>
      <w:r w:rsidR="000B61F6">
        <w:t xml:space="preserve">the </w:t>
      </w:r>
      <w:r>
        <w:t xml:space="preserve">genetic underpinnings for obesity appears to have an effect on laypeople; a comparison between two national polls conducted 20 years apart shows that whereas in 1979, 36% of the respondents perceived heredity to be more important than the environment in determining whether a person was overweight, in 1995, 63% of the respondents </w:t>
      </w:r>
      <w:r w:rsidR="00841178">
        <w:t xml:space="preserve">endorsed </w:t>
      </w:r>
      <w:r w:rsidR="003C59ED">
        <w:t xml:space="preserve">the belief </w:t>
      </w:r>
      <w:r>
        <w:t>that being substantially overweight is largely determined by genes (</w:t>
      </w:r>
      <w:r>
        <w:rPr>
          <w:color w:val="000000"/>
        </w:rPr>
        <w:t>Singer, Corning, &amp; Lamias, 1998</w:t>
      </w:r>
      <w:r>
        <w:t xml:space="preserve">).  </w:t>
      </w:r>
      <w:r w:rsidR="006C7E72">
        <w:t>F</w:t>
      </w:r>
      <w:r>
        <w:t>urthermore, th</w:t>
      </w:r>
      <w:r w:rsidR="006C7E72">
        <w:t xml:space="preserve">ese </w:t>
      </w:r>
      <w:r w:rsidR="00167917">
        <w:t>etiological perceptions prove</w:t>
      </w:r>
      <w:r>
        <w:t xml:space="preserve"> to be </w:t>
      </w:r>
      <w:r w:rsidR="006C7E72">
        <w:t>important</w:t>
      </w:r>
      <w:r>
        <w:t xml:space="preserve"> to </w:t>
      </w:r>
      <w:r w:rsidR="006C7E72">
        <w:t>people</w:t>
      </w:r>
      <w:r w:rsidR="009F4320">
        <w:t>–</w:t>
      </w:r>
      <w:r>
        <w:t xml:space="preserve"> Segal, Polansky, </w:t>
      </w:r>
      <w:r w:rsidR="0093631F">
        <w:t xml:space="preserve">and </w:t>
      </w:r>
      <w:r>
        <w:t xml:space="preserve">Sankar (2007) found that some parents are interested in </w:t>
      </w:r>
      <w:r w:rsidR="003C3129">
        <w:t xml:space="preserve">learning </w:t>
      </w:r>
      <w:r>
        <w:t xml:space="preserve">about their children's genetic susceptibility to obesity even before birth, </w:t>
      </w:r>
      <w:r w:rsidR="009F4320">
        <w:t xml:space="preserve">and </w:t>
      </w:r>
      <w:r w:rsidR="00D7720B">
        <w:t>believ</w:t>
      </w:r>
      <w:r w:rsidR="003C59ED">
        <w:t>e</w:t>
      </w:r>
      <w:r>
        <w:t xml:space="preserve"> that such information should be shared with children around the age of 10. </w:t>
      </w:r>
    </w:p>
    <w:p w14:paraId="55B8FEF5" w14:textId="77777777" w:rsidR="00AA0CD7" w:rsidRDefault="00AA0CD7">
      <w:pPr>
        <w:spacing w:line="480" w:lineRule="auto"/>
      </w:pPr>
      <w:r>
        <w:tab/>
      </w:r>
      <w:r w:rsidR="006C7E72">
        <w:t>But h</w:t>
      </w:r>
      <w:r>
        <w:t xml:space="preserve">ow do people respond to genetic explanations for obesity?  Past research has found that people sometimes respond to genetic explanations for various phenomena in seemingly irrational and </w:t>
      </w:r>
      <w:r>
        <w:lastRenderedPageBreak/>
        <w:t xml:space="preserve">counterproductive ways (for a review see Dar-Nimrod &amp; Heine, </w:t>
      </w:r>
      <w:r w:rsidR="008263EF">
        <w:t>2011</w:t>
      </w:r>
      <w:r>
        <w:t xml:space="preserve">).  Research on genetic etiological beliefs indicates that people frequently associate genetic predispositions with reduced behavioral control in ways that </w:t>
      </w:r>
      <w:r w:rsidR="00C16172">
        <w:t xml:space="preserve">preclude </w:t>
      </w:r>
      <w:r>
        <w:t>environmental effects on behaviors (</w:t>
      </w:r>
      <w:r w:rsidR="008263EF">
        <w:t xml:space="preserve">Dar-Nimrod, Heine, Cheung, &amp; Schaller, 2011; </w:t>
      </w:r>
      <w:r w:rsidR="00E32874">
        <w:t xml:space="preserve">Frosch, Mello, &amp; Lerman, 2005; </w:t>
      </w:r>
      <w:r>
        <w:t xml:space="preserve">Monterosso, Royzman, &amp; Schwartz, 2005; Phelan, 2005).  </w:t>
      </w:r>
      <w:r w:rsidR="00734302">
        <w:t>In particular</w:t>
      </w:r>
      <w:r w:rsidR="00DA6F6E">
        <w:t>,</w:t>
      </w:r>
      <w:r w:rsidR="008A67D6">
        <w:t xml:space="preserve"> d</w:t>
      </w:r>
      <w:r w:rsidR="0093631F">
        <w:t xml:space="preserve">iscussions of the genetic etiology of complex behaviors are associated with more fatalistic cognitions and a decrease in people’s perceived freedom of choice </w:t>
      </w:r>
      <w:r w:rsidR="00760FA0">
        <w:t xml:space="preserve">compared with discussions of alternative </w:t>
      </w:r>
      <w:r w:rsidR="00E44E24">
        <w:t>etiologie</w:t>
      </w:r>
      <w:r w:rsidR="00760FA0">
        <w:t xml:space="preserve">s </w:t>
      </w:r>
      <w:r w:rsidR="0093631F">
        <w:t>(</w:t>
      </w:r>
      <w:r>
        <w:t xml:space="preserve">Dar-Nimrod </w:t>
      </w:r>
      <w:r w:rsidR="0093631F">
        <w:t xml:space="preserve">&amp; </w:t>
      </w:r>
      <w:r w:rsidR="00BF574E">
        <w:t>Lisandrelli</w:t>
      </w:r>
      <w:r w:rsidR="0093631F">
        <w:t>, 201</w:t>
      </w:r>
      <w:r w:rsidR="00BF574E">
        <w:t>2</w:t>
      </w:r>
      <w:r w:rsidR="0093631F">
        <w:t>; Gould &amp; Heine, 2012)</w:t>
      </w:r>
      <w:r>
        <w:t>.  Th</w:t>
      </w:r>
      <w:r w:rsidR="00167917">
        <w:t xml:space="preserve">ese </w:t>
      </w:r>
      <w:r>
        <w:t>claim</w:t>
      </w:r>
      <w:r w:rsidR="00167917">
        <w:t>s</w:t>
      </w:r>
      <w:r>
        <w:t xml:space="preserve"> </w:t>
      </w:r>
      <w:r w:rsidR="00167917">
        <w:t>are</w:t>
      </w:r>
      <w:r>
        <w:t xml:space="preserve"> supported by </w:t>
      </w:r>
      <w:r w:rsidR="00795795">
        <w:t xml:space="preserve">much </w:t>
      </w:r>
      <w:r>
        <w:t xml:space="preserve">empirical research (e.g., Beauchamp, Rhodes, Kreutzer, &amp; Rupert, 2011; Brescoll &amp; LaFrance, 2004; </w:t>
      </w:r>
      <w:r w:rsidR="008263EF">
        <w:t xml:space="preserve">Dar-Nimrod, Zuckerman, &amp; Duberstein, 2013; </w:t>
      </w:r>
      <w:r>
        <w:t xml:space="preserve">Sheldon, Pfeffer, Jayaratne, Feldbaum, &amp; Petty, 2007).  For example, women who learned of a genetic attribution for men’s alleged superiority in math performed more poorly on a math test than women who learned of an experiential account for the same phenomenon (Dar-Nimrod &amp; Heine, 2006).  Applied to the topic of obesity, the effect of perceptions of genetic etiology on perceptions of immutability and control may also have undesirable direct and indirect behavioral consequences.  </w:t>
      </w:r>
    </w:p>
    <w:p w14:paraId="3519EAA0" w14:textId="77777777" w:rsidR="00AA0CD7" w:rsidRDefault="00760FA0">
      <w:pPr>
        <w:spacing w:line="480" w:lineRule="auto"/>
        <w:ind w:firstLine="709"/>
      </w:pPr>
      <w:r>
        <w:t>The Theory of Planned Behavior (Ajzen, 1991</w:t>
      </w:r>
      <w:r w:rsidR="00BE4BFD">
        <w:t>, 2002</w:t>
      </w:r>
      <w:r>
        <w:t>) contends that a</w:t>
      </w:r>
      <w:r w:rsidR="00AA0CD7">
        <w:t xml:space="preserve">ttitudes towards specific behaviors </w:t>
      </w:r>
      <w:r>
        <w:t>(e.g., overeating) affect intentions to exhibit such behaviors (e.g., to overeat)</w:t>
      </w:r>
      <w:r w:rsidR="00494C9D">
        <w:t xml:space="preserve">.  Empirical evidence </w:t>
      </w:r>
      <w:r w:rsidR="00BE4BFD">
        <w:t>indicates</w:t>
      </w:r>
      <w:r w:rsidR="00494C9D">
        <w:t xml:space="preserve"> </w:t>
      </w:r>
      <w:r w:rsidR="00E44E24">
        <w:t xml:space="preserve">a </w:t>
      </w:r>
      <w:r w:rsidR="00494C9D">
        <w:t xml:space="preserve">strong relationship between attitudes towards an obesity-related behavior such as eating a low-fat diet </w:t>
      </w:r>
      <w:r w:rsidR="00BE4BFD">
        <w:t>and intention to follow such a diet</w:t>
      </w:r>
      <w:r>
        <w:t xml:space="preserve"> </w:t>
      </w:r>
      <w:r w:rsidR="00AA0CD7">
        <w:t>(</w:t>
      </w:r>
      <w:r w:rsidR="00AA0CD7">
        <w:rPr>
          <w:color w:val="000000"/>
        </w:rPr>
        <w:t>Armitage &amp; Conner, 1999</w:t>
      </w:r>
      <w:r w:rsidR="00AA0CD7">
        <w:t xml:space="preserve">).  </w:t>
      </w:r>
      <w:r w:rsidR="00167917">
        <w:t xml:space="preserve">Relevant to the current focus, exposure to genetic attributions for </w:t>
      </w:r>
      <w:r w:rsidR="00C80627">
        <w:t>obesity-</w:t>
      </w:r>
      <w:r w:rsidR="00934808">
        <w:t xml:space="preserve">related </w:t>
      </w:r>
      <w:r w:rsidR="00167917">
        <w:t xml:space="preserve">behaviors </w:t>
      </w:r>
      <w:r w:rsidR="00934808">
        <w:t>seems to affect</w:t>
      </w:r>
      <w:r w:rsidR="00167917">
        <w:t xml:space="preserve"> p</w:t>
      </w:r>
      <w:r w:rsidR="00AA0CD7">
        <w:t xml:space="preserve">eople’s attitudes towards </w:t>
      </w:r>
      <w:r w:rsidR="00934808">
        <w:t>such behaviors</w:t>
      </w:r>
      <w:r w:rsidR="00AA0CD7">
        <w:t xml:space="preserve">.  In one study, participants read a vignette depicting an overweight person who was described as an over-eater (Monterosso et al., 2005).  Participants who learned that the person had a gene associated with obesity rated the eating behavior as less controllable and less blameworthy than did participants who learned of an environmental correlate for the overeating behavior.  The </w:t>
      </w:r>
      <w:r w:rsidR="003E6A9B">
        <w:t xml:space="preserve">determinism </w:t>
      </w:r>
      <w:r w:rsidR="00AA0CD7">
        <w:t xml:space="preserve">was even more evident in statements that participants made when they were probed to explain their rating of volition.  For example, one participant stated “(w)ell they said it </w:t>
      </w:r>
      <w:r w:rsidR="00AA0CD7">
        <w:lastRenderedPageBreak/>
        <w:t>was genetically so it [would] you know, be something she had in her genes that</w:t>
      </w:r>
      <w:r w:rsidR="00AA0CD7">
        <w:rPr>
          <w:i/>
        </w:rPr>
        <w:t xml:space="preserve"> she can’t control it, even though she wants to</w:t>
      </w:r>
      <w:r w:rsidR="00AA0CD7">
        <w:t>” (p. 152, italics in original).  Strikingly, participants reported that they would be more likely to overeat if they shared the relevant allele rather than the environmental correlate, suggesting a potentially maladaptive behavioral implication of perceived genetic etiology for obesity.</w:t>
      </w:r>
      <w:r w:rsidR="00934808">
        <w:t xml:space="preserve"> </w:t>
      </w:r>
      <w:r w:rsidR="00AA0CD7">
        <w:t xml:space="preserve"> </w:t>
      </w:r>
      <w:r w:rsidR="003E6A9B">
        <w:t>Demonstrating a potential outcome of such perception</w:t>
      </w:r>
      <w:r w:rsidR="00AA0CD7">
        <w:t xml:space="preserve">, a </w:t>
      </w:r>
      <w:r w:rsidR="003E6A9B">
        <w:t xml:space="preserve">recent survey of a </w:t>
      </w:r>
      <w:r w:rsidR="00AA0CD7">
        <w:t xml:space="preserve">representative </w:t>
      </w:r>
      <w:r w:rsidR="00915C70">
        <w:t>(U</w:t>
      </w:r>
      <w:r w:rsidR="003E6A9B">
        <w:t>S</w:t>
      </w:r>
      <w:r w:rsidR="00915C70">
        <w:t>A</w:t>
      </w:r>
      <w:r w:rsidR="003E6A9B">
        <w:t xml:space="preserve">) </w:t>
      </w:r>
      <w:r w:rsidR="00AA0CD7">
        <w:t>national sample found t</w:t>
      </w:r>
      <w:r w:rsidR="006345A4">
        <w:t>hat holding t</w:t>
      </w:r>
      <w:r w:rsidR="00AA0CD7">
        <w:t>he belief that inheritance has “a lot” to do with obesity was associated with lower levels of physical activity and reduced consumption of fruits and vegetables (Wang &amp; Coups, 2010).</w:t>
      </w:r>
      <w:r w:rsidR="002117EF">
        <w:t xml:space="preserve"> </w:t>
      </w:r>
      <w:r w:rsidR="005533E3">
        <w:t xml:space="preserve"> Other </w:t>
      </w:r>
      <w:r w:rsidR="006345A4">
        <w:t xml:space="preserve">lay </w:t>
      </w:r>
      <w:r w:rsidR="005533E3">
        <w:t>theories of obesity have also been linked to people’s BMI (e.g., McFerran &amp; Muhkhopadhyay, 2013).</w:t>
      </w:r>
    </w:p>
    <w:p w14:paraId="3E4ACC00" w14:textId="10D201D2" w:rsidR="00AA0CD7" w:rsidRDefault="00915C70">
      <w:pPr>
        <w:spacing w:line="480" w:lineRule="auto"/>
        <w:ind w:firstLine="709"/>
      </w:pPr>
      <w:r>
        <w:t>These</w:t>
      </w:r>
      <w:r w:rsidR="00AA0CD7">
        <w:t xml:space="preserve"> kinds of deterministic responses would seem to be irrational given the </w:t>
      </w:r>
      <w:r w:rsidR="007C27BB">
        <w:t xml:space="preserve">relatively </w:t>
      </w:r>
      <w:r w:rsidR="00AA0CD7">
        <w:t>weak empirical link between</w:t>
      </w:r>
      <w:r w:rsidR="0050322B">
        <w:t xml:space="preserve"> specific</w:t>
      </w:r>
      <w:r w:rsidR="00AA0CD7">
        <w:t xml:space="preserve"> genes and body weight in our current environment.  </w:t>
      </w:r>
      <w:r w:rsidR="0050322B">
        <w:t>For example, a</w:t>
      </w:r>
      <w:r w:rsidR="00AA0CD7">
        <w:t xml:space="preserve">nalyses of </w:t>
      </w:r>
      <w:r w:rsidR="0050322B">
        <w:t xml:space="preserve">Body Mass Index (BMI) </w:t>
      </w:r>
      <w:r w:rsidR="00AA0CD7">
        <w:t xml:space="preserve">changes show that in the last 50 years, the proportion of overweight people in the USA has doubled and the proportion of obese people nearly tripled (Flegal, 2010).  Such </w:t>
      </w:r>
      <w:r w:rsidR="000F7AF2">
        <w:t xml:space="preserve">an increase </w:t>
      </w:r>
      <w:r w:rsidR="00AA0CD7">
        <w:t xml:space="preserve">cannot be explained by genetic </w:t>
      </w:r>
      <w:r w:rsidR="008A590D">
        <w:t>changes</w:t>
      </w:r>
      <w:r w:rsidR="00F17A33">
        <w:t xml:space="preserve">, underscoring the substantial role that the environment has on people’s weight.  </w:t>
      </w:r>
      <w:r w:rsidR="00AA0CD7">
        <w:t>Furthermore, looking at the association of specific gen</w:t>
      </w:r>
      <w:r>
        <w:t>es with obesity,</w:t>
      </w:r>
      <w:r w:rsidR="00AA0CD7">
        <w:t xml:space="preserve"> meta-analyses </w:t>
      </w:r>
      <w:r w:rsidR="007C27BB">
        <w:t xml:space="preserve">of genetic association studies </w:t>
      </w:r>
      <w:r w:rsidR="004D7D28">
        <w:t>on</w:t>
      </w:r>
      <w:r w:rsidR="007C27BB">
        <w:t xml:space="preserve"> obesity (see Speliotes et al., 2010) reveal a “modest” effect of the combined risk of all 32 identified variants associated with obesity (p. </w:t>
      </w:r>
      <w:r w:rsidR="00800F8E">
        <w:t>939</w:t>
      </w:r>
      <w:r w:rsidR="007C27BB">
        <w:t xml:space="preserve">), with the strongest single </w:t>
      </w:r>
      <w:r w:rsidR="0060213D">
        <w:t xml:space="preserve">common </w:t>
      </w:r>
      <w:r w:rsidR="007C27BB">
        <w:t>genetic predictor, the FTO gene, accounting for approximately an increased Body Mass Index (BMI) of 0.39 kg/m</w:t>
      </w:r>
      <w:r w:rsidR="009F2094" w:rsidRPr="0060213D">
        <w:rPr>
          <w:vertAlign w:val="superscript"/>
        </w:rPr>
        <w:t>2</w:t>
      </w:r>
      <w:r w:rsidR="007C27BB">
        <w:rPr>
          <w:vertAlign w:val="superscript"/>
        </w:rPr>
        <w:t xml:space="preserve"> in </w:t>
      </w:r>
      <w:r w:rsidR="007C27BB">
        <w:t xml:space="preserve"> – a difference of </w:t>
      </w:r>
      <w:r w:rsidR="00AA1331">
        <w:t xml:space="preserve">around </w:t>
      </w:r>
      <w:r w:rsidR="007C27BB">
        <w:t>1 kg for an adult between the height of 160-180 cm</w:t>
      </w:r>
      <w:r w:rsidR="0006153D">
        <w:t xml:space="preserve">, although the precise amount may well vary </w:t>
      </w:r>
      <w:r w:rsidR="002E0EBB">
        <w:t xml:space="preserve">across individuals </w:t>
      </w:r>
      <w:r w:rsidR="0006153D">
        <w:t xml:space="preserve">because of </w:t>
      </w:r>
      <w:r w:rsidR="00C5517D">
        <w:t xml:space="preserve">potential </w:t>
      </w:r>
      <w:r w:rsidR="0006153D">
        <w:t>interactions with environmental factors. V</w:t>
      </w:r>
      <w:r w:rsidR="00D46FF1">
        <w:t xml:space="preserve">arious other genes have been identified with somewhat </w:t>
      </w:r>
      <w:r w:rsidR="0060213D">
        <w:t>weaker links to obesity</w:t>
      </w:r>
      <w:r w:rsidR="0006153D">
        <w:t xml:space="preserve"> (</w:t>
      </w:r>
      <w:r w:rsidR="0060213D">
        <w:t>Fuji</w:t>
      </w:r>
      <w:r w:rsidR="00D46FF1">
        <w:t>sawa, Ikegami, Kawaguchi, &amp; Ogihara, 1998</w:t>
      </w:r>
      <w:r w:rsidR="005533E3">
        <w:t>; Young et al., 2007</w:t>
      </w:r>
      <w:r w:rsidR="00233261">
        <w:t>)</w:t>
      </w:r>
      <w:r w:rsidR="00AA0CD7">
        <w:t xml:space="preserve">.  Hence, the degree to which </w:t>
      </w:r>
      <w:r w:rsidR="007C0B86">
        <w:t xml:space="preserve">these </w:t>
      </w:r>
      <w:r w:rsidR="00AA0CD7">
        <w:t>so-called “obesity gen</w:t>
      </w:r>
      <w:r w:rsidR="006345A4">
        <w:t>e</w:t>
      </w:r>
      <w:r w:rsidR="007C0B86">
        <w:t>s</w:t>
      </w:r>
      <w:r w:rsidR="00934808">
        <w:t>” affect people’s body weight</w:t>
      </w:r>
      <w:r w:rsidR="00AA0CD7">
        <w:t xml:space="preserve"> is considerably smaller than people’s deterministic responses would suggest</w:t>
      </w:r>
      <w:r w:rsidR="005533E3">
        <w:t xml:space="preserve"> (e.g., Monterosso et al., 2005; Singer et al., 1998; Wang &amp; Coups, 2010)</w:t>
      </w:r>
      <w:r w:rsidR="00AA0CD7">
        <w:t xml:space="preserve">.  </w:t>
      </w:r>
    </w:p>
    <w:p w14:paraId="5680E79A" w14:textId="00F0BAE7" w:rsidR="00AA0CD7" w:rsidRDefault="00396F9E">
      <w:pPr>
        <w:spacing w:line="480" w:lineRule="auto"/>
        <w:ind w:firstLine="709"/>
      </w:pPr>
      <w:r>
        <w:lastRenderedPageBreak/>
        <w:t xml:space="preserve">The deterministic perceptions of genes discussed thus far </w:t>
      </w:r>
      <w:r w:rsidR="00270C2B">
        <w:t xml:space="preserve">potentially engender </w:t>
      </w:r>
      <w:r w:rsidR="003F3D50">
        <w:t xml:space="preserve">both positive and negative </w:t>
      </w:r>
      <w:r w:rsidR="00DC2B06">
        <w:t xml:space="preserve">attitudinal and behavioral </w:t>
      </w:r>
      <w:r w:rsidR="003F3D50">
        <w:t xml:space="preserve">outcomes.  </w:t>
      </w:r>
      <w:r w:rsidR="00BE4BFD">
        <w:t xml:space="preserve">On the one hand, </w:t>
      </w:r>
      <w:r w:rsidR="00AA0CD7">
        <w:t>the findings by Monterosso et al. (2005) indicate that a perceived genetic etiology for obesity may lead to a reduction in prejudice, which is a positive societal outcome</w:t>
      </w:r>
      <w:r w:rsidR="00BE4BFD">
        <w:t xml:space="preserve">.  On the other hand, </w:t>
      </w:r>
      <w:r w:rsidR="00EA4BFC">
        <w:t>they</w:t>
      </w:r>
      <w:r w:rsidR="00AA0CD7">
        <w:t xml:space="preserve"> also indicate that a perceived genetic etiology may serve as the basis for legitimizing such self-harming behaviors as over-eating</w:t>
      </w:r>
      <w:r w:rsidR="004D7D28">
        <w:t xml:space="preserve">, </w:t>
      </w:r>
      <w:r w:rsidR="00B15CCC">
        <w:t xml:space="preserve">engaging in low levels of physical activity, </w:t>
      </w:r>
      <w:r w:rsidR="004D7D28">
        <w:t>and reduced consumption of fruits and vegetables</w:t>
      </w:r>
      <w:r w:rsidR="00BE4BFD">
        <w:t>, corresponding with real world associations between these beliefs and behaviors (Wang &amp; Coups, 2010)</w:t>
      </w:r>
      <w:r w:rsidR="00AA0CD7">
        <w:t>.  To assess the potential behavioral implications of a perceived genetic etiology for obesity, the present studies</w:t>
      </w:r>
      <w:r w:rsidR="00934808">
        <w:t>: 1</w:t>
      </w:r>
      <w:r w:rsidR="00BB2616">
        <w:t>)</w:t>
      </w:r>
      <w:r w:rsidR="00AA0CD7">
        <w:t xml:space="preserve"> evaluate associations between a direct antecedent of behavior (perceived behavioral control</w:t>
      </w:r>
      <w:r w:rsidR="00067724">
        <w:t>;</w:t>
      </w:r>
      <w:r w:rsidR="00AA0CD7">
        <w:t xml:space="preserve"> Ajzen, 1991, 2002) and obesity-relate</w:t>
      </w:r>
      <w:r w:rsidR="00D21806">
        <w:t>d etiological beliefs (Study 1)</w:t>
      </w:r>
      <w:r w:rsidR="00BB2616">
        <w:t>;</w:t>
      </w:r>
      <w:r w:rsidR="00D21806">
        <w:t xml:space="preserve"> 2</w:t>
      </w:r>
      <w:r w:rsidR="00BB2616">
        <w:t>)</w:t>
      </w:r>
      <w:r w:rsidR="00D21806">
        <w:t xml:space="preserve"> experimentally assess the effects of different etiological explanations for metabolic rates on the strength of the cause-outcome associations (Study 2)</w:t>
      </w:r>
      <w:r w:rsidR="00BB2616">
        <w:t>;</w:t>
      </w:r>
      <w:r w:rsidR="00AA0CD7">
        <w:t xml:space="preserve"> and </w:t>
      </w:r>
      <w:r w:rsidR="00D21806">
        <w:t>3</w:t>
      </w:r>
      <w:r w:rsidR="00BB2616">
        <w:t>)</w:t>
      </w:r>
      <w:r w:rsidR="00D21806">
        <w:t xml:space="preserve"> evaluat</w:t>
      </w:r>
      <w:r w:rsidR="00F24CCD">
        <w:t>e</w:t>
      </w:r>
      <w:r w:rsidR="00D21806">
        <w:t xml:space="preserve"> </w:t>
      </w:r>
      <w:r w:rsidR="00AA0CD7">
        <w:t>actual eating behavior following exposure to different etiological accounts</w:t>
      </w:r>
      <w:r w:rsidR="00B12297">
        <w:t xml:space="preserve"> of obesity</w:t>
      </w:r>
      <w:r w:rsidR="00AA0CD7">
        <w:t xml:space="preserve"> (Study </w:t>
      </w:r>
      <w:r w:rsidR="00D21806">
        <w:t>3</w:t>
      </w:r>
      <w:r w:rsidR="00CF2B67">
        <w:t xml:space="preserve">). An institutional ethics committee approved all studies. Participants in all studies indicated their informed consent prior to taking part of the study and were thoroughly debriefed immediately after. </w:t>
      </w:r>
      <w:r w:rsidR="00300A4B">
        <w:t xml:space="preserve"> </w:t>
      </w:r>
      <w:r w:rsidR="00B55C46">
        <w:t xml:space="preserve">Sample sizes were determined based on </w:t>
      </w:r>
      <w:r w:rsidR="004251B4">
        <w:t xml:space="preserve">conceptually </w:t>
      </w:r>
      <w:r w:rsidR="00B55C46">
        <w:t xml:space="preserve">similar </w:t>
      </w:r>
      <w:r w:rsidR="004251B4">
        <w:t>past</w:t>
      </w:r>
      <w:r w:rsidR="00B55C46">
        <w:t xml:space="preserve"> studies on genetic essentialism</w:t>
      </w:r>
      <w:r w:rsidR="004251B4">
        <w:t xml:space="preserve"> (e.g., </w:t>
      </w:r>
      <w:r w:rsidR="00DF15BD">
        <w:t>Dar-Nimrod et al., 2012; Monterosso et al., 2005)</w:t>
      </w:r>
      <w:r w:rsidR="00B55C46">
        <w:t xml:space="preserve">. </w:t>
      </w:r>
      <w:r w:rsidR="00300A4B">
        <w:t xml:space="preserve">  </w:t>
      </w:r>
    </w:p>
    <w:p w14:paraId="2A41E35A" w14:textId="77777777" w:rsidR="00AA0CD7" w:rsidRDefault="00AA0CD7">
      <w:pPr>
        <w:spacing w:line="480" w:lineRule="auto"/>
        <w:jc w:val="center"/>
        <w:rPr>
          <w:b/>
        </w:rPr>
      </w:pPr>
      <w:r>
        <w:rPr>
          <w:b/>
        </w:rPr>
        <w:t>Study 1</w:t>
      </w:r>
    </w:p>
    <w:p w14:paraId="3CBBB675" w14:textId="77777777" w:rsidR="00AA0CD7" w:rsidRDefault="00AA0CD7">
      <w:pPr>
        <w:spacing w:line="480" w:lineRule="auto"/>
        <w:rPr>
          <w:b/>
        </w:rPr>
      </w:pPr>
      <w:r>
        <w:rPr>
          <w:b/>
        </w:rPr>
        <w:t>Method</w:t>
      </w:r>
    </w:p>
    <w:p w14:paraId="08537A47" w14:textId="360F67A7" w:rsidR="00AA0CD7" w:rsidRDefault="00AA0CD7">
      <w:pPr>
        <w:spacing w:line="480" w:lineRule="auto"/>
      </w:pPr>
      <w:r>
        <w:tab/>
      </w:r>
      <w:r w:rsidR="00B55C46">
        <w:t xml:space="preserve">The topic of interest for this study was </w:t>
      </w:r>
      <w:r>
        <w:t xml:space="preserve">part of a </w:t>
      </w:r>
      <w:r w:rsidR="00C5517D">
        <w:t xml:space="preserve">much </w:t>
      </w:r>
      <w:r>
        <w:t>larger study</w:t>
      </w:r>
      <w:r w:rsidR="00B55C46">
        <w:t>,</w:t>
      </w:r>
      <w:r>
        <w:t xml:space="preserve"> </w:t>
      </w:r>
      <w:r w:rsidR="00B55C46">
        <w:t xml:space="preserve">which </w:t>
      </w:r>
      <w:r w:rsidR="00B55C46" w:rsidRPr="0060571F">
        <w:t>contained general questions about perceptions of genes (in various areas such as sexual identity</w:t>
      </w:r>
      <w:r w:rsidR="00B55C46">
        <w:t>, sexual orientation,</w:t>
      </w:r>
      <w:r w:rsidR="00B55C46" w:rsidRPr="0060571F">
        <w:t xml:space="preserve"> and health) as well as the relationships between etiology, penetrance, and immutability in the health realm using vignettes which </w:t>
      </w:r>
      <w:r w:rsidR="00B55C46">
        <w:t>discussed</w:t>
      </w:r>
      <w:r w:rsidR="00B55C46" w:rsidRPr="0060571F">
        <w:t xml:space="preserve"> fictitious diseases</w:t>
      </w:r>
      <w:r w:rsidR="00B55C46">
        <w:t>.  Specifically,</w:t>
      </w:r>
      <w:r>
        <w:t xml:space="preserve"> </w:t>
      </w:r>
      <w:r w:rsidR="008C716C">
        <w:t xml:space="preserve">131 </w:t>
      </w:r>
      <w:r w:rsidR="00365B0F">
        <w:t xml:space="preserve">undergraduate </w:t>
      </w:r>
      <w:r>
        <w:t>students (</w:t>
      </w:r>
      <w:r w:rsidR="008C716C">
        <w:t>83 Women, 43 men, 5 unreported</w:t>
      </w:r>
      <w:r w:rsidR="00417D8C">
        <w:t>)</w:t>
      </w:r>
      <w:r w:rsidR="00841178">
        <w:t xml:space="preserve"> from a large Canadian university</w:t>
      </w:r>
      <w:r w:rsidR="00417D8C">
        <w:t>, ages</w:t>
      </w:r>
      <w:r w:rsidR="00DA4EF6">
        <w:t xml:space="preserve"> 17-57 (M</w:t>
      </w:r>
      <w:r w:rsidR="00DA4EF6">
        <w:rPr>
          <w:vertAlign w:val="subscript"/>
        </w:rPr>
        <w:t>age</w:t>
      </w:r>
      <w:r w:rsidR="00DA4EF6">
        <w:t xml:space="preserve"> = 21.5, SD = 4.75</w:t>
      </w:r>
      <w:r>
        <w:t>) indicated whether they believed that obese people can control their weight with a categorical “yes” or “no” response.  Later, they used a 6</w:t>
      </w:r>
      <w:r w:rsidR="00417D8C">
        <w:t>-point scale in response to the</w:t>
      </w:r>
      <w:r>
        <w:t xml:space="preserve"> question “</w:t>
      </w:r>
      <w:r w:rsidR="00B15CCC">
        <w:t>D</w:t>
      </w:r>
      <w:r>
        <w:t xml:space="preserve">o you believe that obesity </w:t>
      </w:r>
      <w:r>
        <w:lastRenderedPageBreak/>
        <w:t>originates from a genetic disposition or environmental causes (e.g., love of food, upbringing, no exercise, etc.)?” (1- It’s all due to genetics, 6- It's all due to the environment).</w:t>
      </w:r>
    </w:p>
    <w:p w14:paraId="0586AC1F" w14:textId="77777777" w:rsidR="00AA0CD7" w:rsidRDefault="00AA0CD7">
      <w:pPr>
        <w:spacing w:line="480" w:lineRule="auto"/>
        <w:rPr>
          <w:b/>
        </w:rPr>
      </w:pPr>
      <w:r>
        <w:rPr>
          <w:b/>
        </w:rPr>
        <w:t xml:space="preserve">Results and Discussion </w:t>
      </w:r>
    </w:p>
    <w:p w14:paraId="1A85C8D4" w14:textId="3E5FD9A7" w:rsidR="00AA0CD7" w:rsidRDefault="00AA0CD7">
      <w:pPr>
        <w:spacing w:line="480" w:lineRule="auto"/>
        <w:rPr>
          <w:sz w:val="23"/>
          <w:szCs w:val="23"/>
        </w:rPr>
      </w:pPr>
      <w:r>
        <w:tab/>
      </w:r>
      <w:r w:rsidR="00DA4EF6">
        <w:t xml:space="preserve">Seven individuals failed to complete at least one of the </w:t>
      </w:r>
      <w:r w:rsidR="005863A7">
        <w:t xml:space="preserve">variables </w:t>
      </w:r>
      <w:r w:rsidR="00DA4EF6">
        <w:t xml:space="preserve">leading to a final sample of 124.  </w:t>
      </w:r>
      <w:r>
        <w:t xml:space="preserve">A logistic regression analysis was conducted </w:t>
      </w:r>
      <w:r>
        <w:rPr>
          <w:sz w:val="23"/>
          <w:szCs w:val="23"/>
        </w:rPr>
        <w:t>predicting a person's belief that obese people can control their weight from their etiological beliefs.  A</w:t>
      </w:r>
      <w:r w:rsidR="00D728A7">
        <w:rPr>
          <w:sz w:val="23"/>
          <w:szCs w:val="23"/>
        </w:rPr>
        <w:t>s expected, a</w:t>
      </w:r>
      <w:r>
        <w:rPr>
          <w:sz w:val="23"/>
          <w:szCs w:val="23"/>
        </w:rPr>
        <w:t xml:space="preserve">n increase in endorsement of </w:t>
      </w:r>
      <w:r>
        <w:t>genetic explanations over environmental explanations for obesity significantly predicted a decrease in likelihood that one believes obese people can control their weight (</w:t>
      </w:r>
      <w:r w:rsidR="00DA4EF6">
        <w:rPr>
          <w:sz w:val="23"/>
          <w:szCs w:val="23"/>
        </w:rPr>
        <w:t xml:space="preserve">B[SE] = -.60[.22], </w:t>
      </w:r>
      <w:r>
        <w:rPr>
          <w:sz w:val="23"/>
          <w:szCs w:val="23"/>
        </w:rPr>
        <w:t xml:space="preserve">Wald = 7.33, </w:t>
      </w:r>
      <w:r>
        <w:rPr>
          <w:i/>
          <w:sz w:val="23"/>
          <w:szCs w:val="23"/>
        </w:rPr>
        <w:t>p</w:t>
      </w:r>
      <w:r>
        <w:rPr>
          <w:sz w:val="23"/>
          <w:szCs w:val="23"/>
        </w:rPr>
        <w:t xml:space="preserve"> </w:t>
      </w:r>
      <w:r w:rsidR="00CA63C2">
        <w:rPr>
          <w:sz w:val="23"/>
          <w:szCs w:val="23"/>
        </w:rPr>
        <w:t xml:space="preserve">= </w:t>
      </w:r>
      <w:r>
        <w:rPr>
          <w:sz w:val="23"/>
          <w:szCs w:val="23"/>
        </w:rPr>
        <w:t>.</w:t>
      </w:r>
      <w:r w:rsidR="00CA63C2">
        <w:rPr>
          <w:sz w:val="23"/>
          <w:szCs w:val="23"/>
        </w:rPr>
        <w:t>007</w:t>
      </w:r>
      <w:r>
        <w:rPr>
          <w:sz w:val="23"/>
          <w:szCs w:val="23"/>
        </w:rPr>
        <w:t>, OR = 1.82</w:t>
      </w:r>
      <w:r>
        <w:t>).</w:t>
      </w:r>
      <w:r>
        <w:rPr>
          <w:sz w:val="23"/>
          <w:szCs w:val="23"/>
        </w:rPr>
        <w:t xml:space="preserve"> </w:t>
      </w:r>
      <w:r w:rsidR="00C170D2">
        <w:rPr>
          <w:sz w:val="23"/>
          <w:szCs w:val="23"/>
        </w:rPr>
        <w:t xml:space="preserve">The same pattern was found after controlling for age and gender as well </w:t>
      </w:r>
      <w:r w:rsidR="00C170D2">
        <w:t>(</w:t>
      </w:r>
      <w:r w:rsidR="00C170D2">
        <w:rPr>
          <w:sz w:val="23"/>
          <w:szCs w:val="23"/>
        </w:rPr>
        <w:t xml:space="preserve">B[SE] = -.65[.23], Wald = 7.87, </w:t>
      </w:r>
      <w:r w:rsidR="00C170D2">
        <w:rPr>
          <w:i/>
          <w:sz w:val="23"/>
          <w:szCs w:val="23"/>
        </w:rPr>
        <w:t>p</w:t>
      </w:r>
      <w:r w:rsidR="00C170D2">
        <w:rPr>
          <w:sz w:val="23"/>
          <w:szCs w:val="23"/>
        </w:rPr>
        <w:t xml:space="preserve"> </w:t>
      </w:r>
      <w:r w:rsidR="00D728A7">
        <w:rPr>
          <w:sz w:val="23"/>
          <w:szCs w:val="23"/>
        </w:rPr>
        <w:t xml:space="preserve">= </w:t>
      </w:r>
      <w:r w:rsidR="00C170D2">
        <w:rPr>
          <w:sz w:val="23"/>
          <w:szCs w:val="23"/>
        </w:rPr>
        <w:t>.</w:t>
      </w:r>
      <w:r w:rsidR="00D728A7">
        <w:rPr>
          <w:sz w:val="23"/>
          <w:szCs w:val="23"/>
        </w:rPr>
        <w:t>005</w:t>
      </w:r>
      <w:r w:rsidR="00C170D2">
        <w:rPr>
          <w:sz w:val="23"/>
          <w:szCs w:val="23"/>
        </w:rPr>
        <w:t>, OR = 1.</w:t>
      </w:r>
      <w:r w:rsidR="000D64BC">
        <w:rPr>
          <w:sz w:val="23"/>
          <w:szCs w:val="23"/>
        </w:rPr>
        <w:t>9</w:t>
      </w:r>
      <w:r w:rsidR="00C170D2">
        <w:rPr>
          <w:sz w:val="23"/>
          <w:szCs w:val="23"/>
        </w:rPr>
        <w:t>2</w:t>
      </w:r>
      <w:r w:rsidR="00C170D2">
        <w:t>).</w:t>
      </w:r>
    </w:p>
    <w:p w14:paraId="19761CE6" w14:textId="77777777" w:rsidR="00AA0CD7" w:rsidRDefault="00AA0CD7">
      <w:pPr>
        <w:spacing w:line="480" w:lineRule="auto"/>
        <w:rPr>
          <w:color w:val="000000"/>
        </w:rPr>
      </w:pPr>
      <w:r>
        <w:rPr>
          <w:sz w:val="23"/>
          <w:szCs w:val="23"/>
        </w:rPr>
        <w:tab/>
        <w:t>This study suggests that a belief in genetic etiology for obesity is associated with a belief that obese people cannot control their weight.</w:t>
      </w:r>
      <w:r w:rsidR="00A93948">
        <w:rPr>
          <w:sz w:val="23"/>
          <w:szCs w:val="23"/>
        </w:rPr>
        <w:t xml:space="preserve">  However, this was a correlational design</w:t>
      </w:r>
      <w:r w:rsidR="00CD1E3F">
        <w:rPr>
          <w:sz w:val="23"/>
          <w:szCs w:val="23"/>
        </w:rPr>
        <w:t>,</w:t>
      </w:r>
      <w:r w:rsidR="00A93948">
        <w:rPr>
          <w:sz w:val="23"/>
          <w:szCs w:val="23"/>
        </w:rPr>
        <w:t xml:space="preserve"> which limits causal inferences.</w:t>
      </w:r>
      <w:r>
        <w:rPr>
          <w:sz w:val="23"/>
          <w:szCs w:val="23"/>
        </w:rPr>
        <w:t xml:space="preserve">  </w:t>
      </w:r>
      <w:r w:rsidR="00A93948">
        <w:rPr>
          <w:sz w:val="23"/>
          <w:szCs w:val="23"/>
        </w:rPr>
        <w:t xml:space="preserve">To further explore such associations experimentally, in Study 2 we manipulated perceived etiological explanations for </w:t>
      </w:r>
      <w:r w:rsidR="000109FB">
        <w:rPr>
          <w:sz w:val="23"/>
          <w:szCs w:val="23"/>
        </w:rPr>
        <w:t xml:space="preserve">an </w:t>
      </w:r>
      <w:r w:rsidR="00A93948">
        <w:rPr>
          <w:sz w:val="23"/>
          <w:szCs w:val="23"/>
        </w:rPr>
        <w:t xml:space="preserve">obesity-related phenomenon (metabolic rate) and evaluated these explanations’ effects on people’s weight-related beliefs as well as </w:t>
      </w:r>
      <w:r w:rsidR="00C73B78">
        <w:rPr>
          <w:sz w:val="23"/>
          <w:szCs w:val="23"/>
        </w:rPr>
        <w:t>their</w:t>
      </w:r>
      <w:r w:rsidR="00750529">
        <w:rPr>
          <w:sz w:val="23"/>
          <w:szCs w:val="23"/>
        </w:rPr>
        <w:t xml:space="preserve"> perception</w:t>
      </w:r>
      <w:r w:rsidR="00787149">
        <w:rPr>
          <w:sz w:val="23"/>
          <w:szCs w:val="23"/>
        </w:rPr>
        <w:t>s</w:t>
      </w:r>
      <w:r w:rsidR="00750529">
        <w:rPr>
          <w:sz w:val="23"/>
          <w:szCs w:val="23"/>
        </w:rPr>
        <w:t xml:space="preserve"> of </w:t>
      </w:r>
      <w:r w:rsidR="00A93948">
        <w:rPr>
          <w:sz w:val="23"/>
          <w:szCs w:val="23"/>
        </w:rPr>
        <w:t xml:space="preserve">different facets of the </w:t>
      </w:r>
      <w:r w:rsidR="00537946">
        <w:rPr>
          <w:sz w:val="23"/>
          <w:szCs w:val="23"/>
        </w:rPr>
        <w:t xml:space="preserve">etiological </w:t>
      </w:r>
      <w:r w:rsidR="000109FB">
        <w:rPr>
          <w:sz w:val="23"/>
          <w:szCs w:val="23"/>
        </w:rPr>
        <w:t>explanations</w:t>
      </w:r>
      <w:r w:rsidR="00A93948">
        <w:rPr>
          <w:sz w:val="23"/>
          <w:szCs w:val="23"/>
        </w:rPr>
        <w:t xml:space="preserve">. </w:t>
      </w:r>
    </w:p>
    <w:p w14:paraId="633F59A7" w14:textId="77777777" w:rsidR="00AA0CD7" w:rsidRDefault="00AA0CD7">
      <w:pPr>
        <w:spacing w:line="480" w:lineRule="auto"/>
        <w:jc w:val="center"/>
        <w:rPr>
          <w:b/>
        </w:rPr>
      </w:pPr>
      <w:r>
        <w:rPr>
          <w:b/>
        </w:rPr>
        <w:t>Study 2</w:t>
      </w:r>
    </w:p>
    <w:p w14:paraId="105F3B0E" w14:textId="77777777" w:rsidR="00D21806" w:rsidRDefault="00D21806" w:rsidP="00D21806">
      <w:pPr>
        <w:rPr>
          <w:b/>
        </w:rPr>
      </w:pPr>
      <w:r>
        <w:rPr>
          <w:b/>
        </w:rPr>
        <w:t>Method</w:t>
      </w:r>
    </w:p>
    <w:p w14:paraId="30694454" w14:textId="77777777" w:rsidR="00C16812" w:rsidRDefault="00C16812" w:rsidP="00D21806"/>
    <w:p w14:paraId="516F25DA" w14:textId="587E36CE" w:rsidR="00D21806" w:rsidRDefault="00D21806" w:rsidP="00D21806">
      <w:pPr>
        <w:spacing w:line="480" w:lineRule="auto"/>
        <w:ind w:firstLine="720"/>
      </w:pPr>
      <w:r>
        <w:t xml:space="preserve">One-hundred and </w:t>
      </w:r>
      <w:r w:rsidR="00DF6D69">
        <w:t>forty-</w:t>
      </w:r>
      <w:r w:rsidR="00D87337">
        <w:t xml:space="preserve">three </w:t>
      </w:r>
      <w:r>
        <w:t xml:space="preserve">undergraduate students (36 </w:t>
      </w:r>
      <w:r w:rsidR="000109FB">
        <w:t>men</w:t>
      </w:r>
      <w:r>
        <w:t>, 1</w:t>
      </w:r>
      <w:r w:rsidR="00D87337">
        <w:t>06</w:t>
      </w:r>
      <w:r>
        <w:t xml:space="preserve"> </w:t>
      </w:r>
      <w:r w:rsidR="000109FB">
        <w:t>women</w:t>
      </w:r>
      <w:r>
        <w:t>, and 1 undeclared)</w:t>
      </w:r>
      <w:r w:rsidR="00841178">
        <w:t xml:space="preserve"> from a large Canadian university</w:t>
      </w:r>
      <w:r>
        <w:t>, ages 17-45 (</w:t>
      </w:r>
      <w:r w:rsidR="00DA4EF6" w:rsidRPr="00417D8C">
        <w:rPr>
          <w:i/>
        </w:rPr>
        <w:t>M</w:t>
      </w:r>
      <w:r w:rsidR="00DA4EF6" w:rsidRPr="00417D8C">
        <w:rPr>
          <w:i/>
          <w:vertAlign w:val="subscript"/>
        </w:rPr>
        <w:t>age</w:t>
      </w:r>
      <w:r>
        <w:t xml:space="preserve"> = 20.5, </w:t>
      </w:r>
      <w:r>
        <w:rPr>
          <w:i/>
        </w:rPr>
        <w:t>SD</w:t>
      </w:r>
      <w:r>
        <w:t xml:space="preserve"> = 3.8</w:t>
      </w:r>
      <w:r w:rsidR="00D87337">
        <w:t>8</w:t>
      </w:r>
      <w:r>
        <w:t>), participated in a study about attribution</w:t>
      </w:r>
      <w:r w:rsidR="00DF6D69">
        <w:t>s</w:t>
      </w:r>
      <w:r>
        <w:t xml:space="preserve"> of positive outcomes for psychology course credit.  </w:t>
      </w:r>
      <w:r w:rsidR="006543D3">
        <w:t>P</w:t>
      </w:r>
      <w:r>
        <w:t xml:space="preserve">articipants read a vignette portraying a protagonist, Jeremy, as a chef-in-training who learns that he has high metabolism </w:t>
      </w:r>
      <w:r w:rsidR="00FE1349">
        <w:t>in the course</w:t>
      </w:r>
      <w:r>
        <w:t xml:space="preserve"> of his culinary education</w:t>
      </w:r>
      <w:r w:rsidR="007A6584">
        <w:t xml:space="preserve"> (see appendix</w:t>
      </w:r>
      <w:r w:rsidR="00684833">
        <w:t xml:space="preserve"> 1</w:t>
      </w:r>
      <w:r w:rsidR="007A6584">
        <w:t>)</w:t>
      </w:r>
      <w:r>
        <w:t xml:space="preserve">.  Participants were randomly assigned to three experimental conditions offering divergent explanations for </w:t>
      </w:r>
      <w:r w:rsidR="008B567D">
        <w:t xml:space="preserve">the protagonist’s </w:t>
      </w:r>
      <w:r>
        <w:t xml:space="preserve">metabolic rate: </w:t>
      </w:r>
      <w:r w:rsidR="008B567D">
        <w:t xml:space="preserve">control </w:t>
      </w:r>
      <w:r>
        <w:t>(</w:t>
      </w:r>
      <w:r w:rsidRPr="004656B2">
        <w:rPr>
          <w:i/>
        </w:rPr>
        <w:t>n</w:t>
      </w:r>
      <w:r>
        <w:t xml:space="preserve"> = 48); </w:t>
      </w:r>
      <w:r w:rsidR="008B567D">
        <w:t xml:space="preserve">genetic </w:t>
      </w:r>
      <w:r>
        <w:t>(</w:t>
      </w:r>
      <w:r w:rsidRPr="004656B2">
        <w:rPr>
          <w:i/>
        </w:rPr>
        <w:t>n</w:t>
      </w:r>
      <w:r>
        <w:t xml:space="preserve"> = 53); and </w:t>
      </w:r>
      <w:r w:rsidR="008B567D">
        <w:t xml:space="preserve">experiential </w:t>
      </w:r>
      <w:r>
        <w:t>(</w:t>
      </w:r>
      <w:r w:rsidRPr="004656B2">
        <w:rPr>
          <w:i/>
        </w:rPr>
        <w:t>n</w:t>
      </w:r>
      <w:r>
        <w:t xml:space="preserve"> = </w:t>
      </w:r>
      <w:r w:rsidR="00D87337">
        <w:t>42</w:t>
      </w:r>
      <w:r>
        <w:t xml:space="preserve">).  The </w:t>
      </w:r>
      <w:r w:rsidR="008B567D">
        <w:t xml:space="preserve">control </w:t>
      </w:r>
      <w:r>
        <w:t xml:space="preserve">condition attributed such differences to individual </w:t>
      </w:r>
      <w:r>
        <w:lastRenderedPageBreak/>
        <w:t>variation</w:t>
      </w:r>
      <w:r w:rsidR="006543D3">
        <w:t xml:space="preserve">.  Based on published research, </w:t>
      </w:r>
      <w:r>
        <w:t xml:space="preserve">the </w:t>
      </w:r>
      <w:r w:rsidR="008B567D">
        <w:t xml:space="preserve">genetic </w:t>
      </w:r>
      <w:r w:rsidR="006543D3">
        <w:t xml:space="preserve">(Haldar et al., 2012) </w:t>
      </w:r>
      <w:r>
        <w:t xml:space="preserve">and </w:t>
      </w:r>
      <w:r w:rsidR="00A10502">
        <w:t>experiential</w:t>
      </w:r>
      <w:r w:rsidR="008B567D">
        <w:t xml:space="preserve"> </w:t>
      </w:r>
      <w:r w:rsidR="006543D3" w:rsidRPr="00417D8C">
        <w:t>(</w:t>
      </w:r>
      <w:r w:rsidR="00417D8C">
        <w:t>Armstrong &amp; Reil</w:t>
      </w:r>
      <w:r w:rsidR="000402C9">
        <w:t>l</w:t>
      </w:r>
      <w:r w:rsidR="00417D8C">
        <w:t>y, 2002</w:t>
      </w:r>
      <w:r w:rsidR="006543D3" w:rsidRPr="00417D8C">
        <w:t>)</w:t>
      </w:r>
      <w:r w:rsidR="006543D3">
        <w:t xml:space="preserve"> </w:t>
      </w:r>
      <w:r>
        <w:t xml:space="preserve">conditions attributed such differences to </w:t>
      </w:r>
      <w:r w:rsidR="00D525B9">
        <w:t>the KLF15</w:t>
      </w:r>
      <w:r>
        <w:t xml:space="preserve"> gene</w:t>
      </w:r>
      <w:r w:rsidR="00FE1349">
        <w:t>,</w:t>
      </w:r>
      <w:r>
        <w:t xml:space="preserve"> and whether one was breastfed as a child or not, respectively.  </w:t>
      </w:r>
    </w:p>
    <w:p w14:paraId="300C0625" w14:textId="77777777" w:rsidR="00D21806" w:rsidRDefault="00D21806" w:rsidP="00D21806">
      <w:pPr>
        <w:spacing w:line="480" w:lineRule="auto"/>
      </w:pPr>
      <w:r>
        <w:tab/>
        <w:t>Following the vignette</w:t>
      </w:r>
      <w:r w:rsidR="00C029D1">
        <w:t>,</w:t>
      </w:r>
      <w:r>
        <w:t xml:space="preserve"> participants completed a questionnaire assessing their beliefs about Jeremy’s weight.  Using 5-point </w:t>
      </w:r>
      <w:r w:rsidR="000844F1">
        <w:t xml:space="preserve">Likert-type </w:t>
      </w:r>
      <w:r>
        <w:t xml:space="preserve">scales participants indicated perceptions of control (“How much control do you think Jeremy has over how much he weighs?”); validity (“How likely do you think Jeremy has higher metabolism than the average person?”); and immediate generalization (“Compared to the average person in the country, how easily do you think Jeremy’s body can burn calories from fats?”). </w:t>
      </w:r>
      <w:r w:rsidR="008B567D">
        <w:t xml:space="preserve"> </w:t>
      </w:r>
      <w:r>
        <w:t xml:space="preserve">In addition, </w:t>
      </w:r>
      <w:r w:rsidR="00246F03">
        <w:t xml:space="preserve">projected behavioral </w:t>
      </w:r>
      <w:r>
        <w:t xml:space="preserve">stability was measured using an </w:t>
      </w:r>
      <w:r w:rsidR="004F3130">
        <w:t>open-</w:t>
      </w:r>
      <w:r>
        <w:t xml:space="preserve">ended question (“How much </w:t>
      </w:r>
      <w:r w:rsidR="00877CCB">
        <w:t xml:space="preserve">change in </w:t>
      </w:r>
      <w:r>
        <w:t xml:space="preserve">weight, in pounds, do you think Jeremy will have over the next 5 years?”).   </w:t>
      </w:r>
    </w:p>
    <w:p w14:paraId="58548D23" w14:textId="77777777" w:rsidR="00D21806" w:rsidRDefault="00D21806" w:rsidP="00D21806">
      <w:pPr>
        <w:spacing w:line="480" w:lineRule="auto"/>
      </w:pPr>
      <w:r>
        <w:tab/>
      </w:r>
      <w:r>
        <w:rPr>
          <w:b/>
        </w:rPr>
        <w:t>Attributional Style Questionnaire (ASQ).</w:t>
      </w:r>
      <w:r>
        <w:t xml:space="preserve">  We measured participants’ </w:t>
      </w:r>
      <w:r w:rsidR="00B821DA">
        <w:t xml:space="preserve">causal </w:t>
      </w:r>
      <w:r>
        <w:t>attributions</w:t>
      </w:r>
      <w:r w:rsidR="00E80A3E">
        <w:t xml:space="preserve"> in relation to the etiological explanations</w:t>
      </w:r>
      <w:r>
        <w:t xml:space="preserve"> using the ASQ (Peterson et al., 1982), adapted for this specific scenario</w:t>
      </w:r>
      <w:r w:rsidR="00095341">
        <w:t xml:space="preserve">.  The questionnaire assessed </w:t>
      </w:r>
      <w:r>
        <w:t xml:space="preserve">causal locus </w:t>
      </w:r>
      <w:r w:rsidR="00152002">
        <w:t>(</w:t>
      </w:r>
      <w:r>
        <w:t xml:space="preserve">higher values denote greater internal attribution), causal stability, causal control, and causal generalization (i.e., how specific is the cause to the phenomenon).  In a similar manner we assessed causal malleability (“Is the effect of the cause of Jeremy’s higher metabolism something that can be changed or corrected?”).  Participants used 7-point </w:t>
      </w:r>
      <w:r w:rsidR="004F3130">
        <w:t>Likert</w:t>
      </w:r>
      <w:r w:rsidR="000844F1">
        <w:t>-type</w:t>
      </w:r>
      <w:r w:rsidR="004F3130">
        <w:t xml:space="preserve"> </w:t>
      </w:r>
      <w:r>
        <w:t>scales to provide their ratings</w:t>
      </w:r>
      <w:r w:rsidR="00FE1349">
        <w:t>,</w:t>
      </w:r>
      <w:r>
        <w:t xml:space="preserve"> with higher scores reflecting more of the specific element in question.</w:t>
      </w:r>
    </w:p>
    <w:p w14:paraId="3EB74D6F" w14:textId="77777777" w:rsidR="00D21806" w:rsidRDefault="00D21806" w:rsidP="00D21806">
      <w:pPr>
        <w:spacing w:line="480" w:lineRule="auto"/>
      </w:pPr>
      <w:r>
        <w:rPr>
          <w:b/>
        </w:rPr>
        <w:t>Results and Discussion</w:t>
      </w:r>
    </w:p>
    <w:p w14:paraId="19226D60" w14:textId="77777777" w:rsidR="00D21806" w:rsidRDefault="00D21806" w:rsidP="00D21806">
      <w:pPr>
        <w:spacing w:line="480" w:lineRule="auto"/>
      </w:pPr>
      <w:r>
        <w:tab/>
        <w:t>We analyzed the results using multiple regression</w:t>
      </w:r>
      <w:r w:rsidR="00095341">
        <w:t xml:space="preserve"> analyses</w:t>
      </w:r>
      <w:r>
        <w:t xml:space="preserve">.  Our manipulations were dummy-coded into two variables, with the </w:t>
      </w:r>
      <w:r w:rsidR="004F3130">
        <w:t xml:space="preserve">genetic </w:t>
      </w:r>
      <w:r>
        <w:t xml:space="preserve">condition being the comparison group.  </w:t>
      </w:r>
      <w:r w:rsidR="00CA63C2">
        <w:t xml:space="preserve">The first regression coefficients reported for each dependent variable does not include covariates.  The second one include, </w:t>
      </w:r>
      <w:r>
        <w:t>age, gender</w:t>
      </w:r>
      <w:r w:rsidR="00134F33">
        <w:t xml:space="preserve"> (0 = Male, 1 = Female)</w:t>
      </w:r>
      <w:r>
        <w:t>, and self-reported BMI as covariates.  These covariates and all criterion variables have been standardized prior to analyses.</w:t>
      </w:r>
    </w:p>
    <w:p w14:paraId="58CAAB61" w14:textId="05F70819" w:rsidR="00D21806" w:rsidRPr="009069A2" w:rsidRDefault="00D21806" w:rsidP="00D21806">
      <w:pPr>
        <w:spacing w:line="480" w:lineRule="auto"/>
        <w:rPr>
          <w:rFonts w:cstheme="minorBidi"/>
          <w:b/>
        </w:rPr>
      </w:pPr>
      <w:r>
        <w:rPr>
          <w:b/>
        </w:rPr>
        <w:lastRenderedPageBreak/>
        <w:t xml:space="preserve">Beliefs about Weight.  </w:t>
      </w:r>
      <w:r>
        <w:t>As detailed in Table 1, compared to participants in the genetic condition, participants in the experiential</w:t>
      </w:r>
      <w:r w:rsidR="004F3130">
        <w:t xml:space="preserve"> </w:t>
      </w:r>
      <w:r>
        <w:t xml:space="preserve">condition felt that Jeremy had </w:t>
      </w:r>
      <w:r w:rsidR="00CA63C2">
        <w:t xml:space="preserve">marginally/significantly </w:t>
      </w:r>
      <w:r>
        <w:t>more control over his weight [</w:t>
      </w:r>
      <w:r w:rsidR="00CA63C2" w:rsidRPr="0086724B">
        <w:rPr>
          <w:rFonts w:cs="Times New Roman"/>
          <w:i/>
        </w:rPr>
        <w:t xml:space="preserve">β </w:t>
      </w:r>
      <w:r w:rsidR="00CA63C2">
        <w:rPr>
          <w:rFonts w:cs="Times New Roman"/>
        </w:rPr>
        <w:t xml:space="preserve">= 0.35, </w:t>
      </w:r>
      <w:r w:rsidR="00CA63C2">
        <w:rPr>
          <w:rFonts w:cs="Times New Roman"/>
          <w:i/>
        </w:rPr>
        <w:t>p</w:t>
      </w:r>
      <w:r w:rsidR="00CA63C2">
        <w:rPr>
          <w:rFonts w:cs="Times New Roman"/>
        </w:rPr>
        <w:t xml:space="preserve"> = .09;</w:t>
      </w:r>
      <w:r w:rsidR="00CA63C2">
        <w:rPr>
          <w:rFonts w:cs="Times New Roman"/>
          <w:i/>
        </w:rPr>
        <w:t xml:space="preserve"> </w:t>
      </w:r>
      <w:r w:rsidRPr="0086724B">
        <w:rPr>
          <w:rFonts w:cs="Times New Roman"/>
          <w:i/>
        </w:rPr>
        <w:t>β</w:t>
      </w:r>
      <w:r>
        <w:rPr>
          <w:rFonts w:cs="Times New Roman"/>
        </w:rPr>
        <w:t xml:space="preserve"> = 0.42</w:t>
      </w:r>
      <w:r w:rsidR="00095341">
        <w:rPr>
          <w:rFonts w:cs="Times New Roman"/>
        </w:rPr>
        <w:t xml:space="preserve">, p </w:t>
      </w:r>
      <w:r w:rsidR="00247DE9">
        <w:rPr>
          <w:rFonts w:cs="Times New Roman"/>
        </w:rPr>
        <w:t>=</w:t>
      </w:r>
      <w:r w:rsidR="00D21578">
        <w:rPr>
          <w:rFonts w:cs="Times New Roman"/>
        </w:rPr>
        <w:t xml:space="preserve"> .</w:t>
      </w:r>
      <w:r w:rsidR="00E349B8">
        <w:rPr>
          <w:rFonts w:cs="Times New Roman"/>
        </w:rPr>
        <w:t>05</w:t>
      </w:r>
      <w:r>
        <w:rPr>
          <w:rFonts w:cs="Times New Roman"/>
        </w:rPr>
        <w:t xml:space="preserve">], and viewed Jeremy’s higher metabolism as </w:t>
      </w:r>
      <w:r w:rsidR="00CA63C2">
        <w:rPr>
          <w:rFonts w:cs="Times New Roman"/>
        </w:rPr>
        <w:t xml:space="preserve">nominally/significantly </w:t>
      </w:r>
      <w:r>
        <w:rPr>
          <w:rFonts w:cs="Times New Roman"/>
        </w:rPr>
        <w:t>less valid [</w:t>
      </w:r>
      <w:r w:rsidR="00CA63C2" w:rsidRPr="0086724B">
        <w:rPr>
          <w:rFonts w:cs="Times New Roman"/>
          <w:i/>
        </w:rPr>
        <w:t xml:space="preserve">β </w:t>
      </w:r>
      <w:r w:rsidR="00CA63C2">
        <w:rPr>
          <w:rFonts w:cs="Times New Roman"/>
        </w:rPr>
        <w:t xml:space="preserve">= </w:t>
      </w:r>
      <w:r w:rsidR="000E5D0F">
        <w:rPr>
          <w:rFonts w:cs="Times New Roman"/>
        </w:rPr>
        <w:t>-</w:t>
      </w:r>
      <w:r w:rsidR="00CA63C2">
        <w:rPr>
          <w:rFonts w:cs="Times New Roman"/>
        </w:rPr>
        <w:t xml:space="preserve">0.32, </w:t>
      </w:r>
      <w:r w:rsidR="00CA63C2">
        <w:rPr>
          <w:rFonts w:cs="Times New Roman"/>
          <w:i/>
        </w:rPr>
        <w:t>p</w:t>
      </w:r>
      <w:r w:rsidR="00CA63C2">
        <w:rPr>
          <w:rFonts w:cs="Times New Roman"/>
        </w:rPr>
        <w:t xml:space="preserve"> = .12;</w:t>
      </w:r>
      <w:r w:rsidR="00CA63C2">
        <w:rPr>
          <w:rFonts w:cs="Times New Roman"/>
          <w:i/>
        </w:rPr>
        <w:t xml:space="preserve"> </w:t>
      </w:r>
      <w:r w:rsidRPr="0053299F">
        <w:rPr>
          <w:rFonts w:cs="Times New Roman"/>
          <w:i/>
        </w:rPr>
        <w:t>β</w:t>
      </w:r>
      <w:r>
        <w:rPr>
          <w:rFonts w:cs="Times New Roman"/>
        </w:rPr>
        <w:t xml:space="preserve"> = -0.43</w:t>
      </w:r>
      <w:r w:rsidR="00D21578">
        <w:rPr>
          <w:rFonts w:cs="Times New Roman"/>
        </w:rPr>
        <w:t xml:space="preserve">, p </w:t>
      </w:r>
      <w:r w:rsidR="00DD13D9">
        <w:rPr>
          <w:rFonts w:cs="Times New Roman"/>
        </w:rPr>
        <w:t>=</w:t>
      </w:r>
      <w:r w:rsidR="00D21578">
        <w:rPr>
          <w:rFonts w:cs="Times New Roman"/>
        </w:rPr>
        <w:t xml:space="preserve"> .0</w:t>
      </w:r>
      <w:r w:rsidR="00DD13D9">
        <w:rPr>
          <w:rFonts w:cs="Times New Roman"/>
        </w:rPr>
        <w:t>3</w:t>
      </w:r>
      <w:r>
        <w:rPr>
          <w:rFonts w:cs="Times New Roman"/>
        </w:rPr>
        <w:t xml:space="preserve">].  </w:t>
      </w:r>
      <w:r w:rsidR="004F3130">
        <w:rPr>
          <w:rFonts w:cs="Times New Roman"/>
        </w:rPr>
        <w:t xml:space="preserve">Participants in the experiential condition </w:t>
      </w:r>
      <w:r>
        <w:rPr>
          <w:rFonts w:cs="Times New Roman"/>
        </w:rPr>
        <w:t xml:space="preserve">also demonstrated </w:t>
      </w:r>
      <w:r w:rsidR="00AB22FC">
        <w:rPr>
          <w:rFonts w:cs="Times New Roman"/>
        </w:rPr>
        <w:t xml:space="preserve">significantly </w:t>
      </w:r>
      <w:r w:rsidR="004F3130">
        <w:rPr>
          <w:rFonts w:cs="Times New Roman"/>
        </w:rPr>
        <w:t xml:space="preserve">weaker tendencies to make </w:t>
      </w:r>
      <w:r>
        <w:rPr>
          <w:rFonts w:cs="Times New Roman"/>
        </w:rPr>
        <w:t>proximal generalizations</w:t>
      </w:r>
      <w:r w:rsidR="00FE1349">
        <w:rPr>
          <w:rFonts w:cs="Times New Roman"/>
        </w:rPr>
        <w:t>,</w:t>
      </w:r>
      <w:r>
        <w:rPr>
          <w:rFonts w:cs="Times New Roman"/>
        </w:rPr>
        <w:t xml:space="preserve"> by indicating their belief that Jeremy can less easily burn calories [</w:t>
      </w:r>
      <w:r w:rsidR="00CA63C2" w:rsidRPr="0053299F">
        <w:rPr>
          <w:rFonts w:cs="Times New Roman"/>
          <w:i/>
        </w:rPr>
        <w:t>β</w:t>
      </w:r>
      <w:r w:rsidR="00CA63C2">
        <w:rPr>
          <w:rFonts w:cs="Times New Roman"/>
        </w:rPr>
        <w:t xml:space="preserve"> = -0.53, p = .01; </w:t>
      </w:r>
      <w:r w:rsidRPr="0053299F">
        <w:rPr>
          <w:rFonts w:cs="Times New Roman"/>
          <w:i/>
        </w:rPr>
        <w:t>β</w:t>
      </w:r>
      <w:r>
        <w:rPr>
          <w:rFonts w:cs="Times New Roman"/>
        </w:rPr>
        <w:t xml:space="preserve"> = -0.64</w:t>
      </w:r>
      <w:r w:rsidR="00D21578">
        <w:rPr>
          <w:rFonts w:cs="Times New Roman"/>
        </w:rPr>
        <w:t xml:space="preserve">, p </w:t>
      </w:r>
      <w:r w:rsidR="00DD13D9">
        <w:rPr>
          <w:rFonts w:cs="Times New Roman"/>
        </w:rPr>
        <w:t>=</w:t>
      </w:r>
      <w:r w:rsidR="00D21578">
        <w:rPr>
          <w:rFonts w:cs="Times New Roman"/>
        </w:rPr>
        <w:t xml:space="preserve"> .0</w:t>
      </w:r>
      <w:r w:rsidR="00DD13D9">
        <w:rPr>
          <w:rFonts w:cs="Times New Roman"/>
        </w:rPr>
        <w:t>02</w:t>
      </w:r>
      <w:r>
        <w:rPr>
          <w:rFonts w:cs="Times New Roman"/>
        </w:rPr>
        <w:t>]</w:t>
      </w:r>
      <w:r w:rsidR="004F3130">
        <w:rPr>
          <w:rFonts w:cs="Times New Roman"/>
        </w:rPr>
        <w:t xml:space="preserve">, and they </w:t>
      </w:r>
      <w:r w:rsidR="00E349B8">
        <w:rPr>
          <w:rFonts w:cs="Times New Roman"/>
        </w:rPr>
        <w:t xml:space="preserve">(only) </w:t>
      </w:r>
      <w:r w:rsidR="004F3130">
        <w:rPr>
          <w:rFonts w:cs="Times New Roman"/>
        </w:rPr>
        <w:t xml:space="preserve">nominally </w:t>
      </w:r>
      <w:r w:rsidR="00FE1349">
        <w:rPr>
          <w:rFonts w:cs="Times New Roman"/>
        </w:rPr>
        <w:t>endorsed</w:t>
      </w:r>
      <w:r w:rsidR="004F3130">
        <w:rPr>
          <w:rFonts w:cs="Times New Roman"/>
        </w:rPr>
        <w:t xml:space="preserve"> </w:t>
      </w:r>
      <w:r>
        <w:rPr>
          <w:rFonts w:cs="Times New Roman"/>
        </w:rPr>
        <w:t>lower temporal stability estimates</w:t>
      </w:r>
      <w:r w:rsidR="00FE1349">
        <w:rPr>
          <w:rFonts w:cs="Times New Roman"/>
        </w:rPr>
        <w:t>,</w:t>
      </w:r>
      <w:r>
        <w:rPr>
          <w:rFonts w:cs="Times New Roman"/>
        </w:rPr>
        <w:t xml:space="preserve"> indicating </w:t>
      </w:r>
      <w:r w:rsidR="00117217">
        <w:rPr>
          <w:rFonts w:cs="Times New Roman"/>
        </w:rPr>
        <w:t>greater</w:t>
      </w:r>
      <w:r>
        <w:rPr>
          <w:rFonts w:cs="Times New Roman"/>
        </w:rPr>
        <w:t xml:space="preserve"> weight </w:t>
      </w:r>
      <w:r w:rsidR="00117217">
        <w:rPr>
          <w:rFonts w:cs="Times New Roman"/>
        </w:rPr>
        <w:t>gain</w:t>
      </w:r>
      <w:r>
        <w:rPr>
          <w:rFonts w:cs="Times New Roman"/>
        </w:rPr>
        <w:t xml:space="preserve"> over the next five years [</w:t>
      </w:r>
      <w:r w:rsidR="00CA63C2" w:rsidRPr="0053299F">
        <w:rPr>
          <w:rFonts w:cs="Times New Roman"/>
          <w:i/>
        </w:rPr>
        <w:t>β</w:t>
      </w:r>
      <w:r w:rsidR="00CA63C2">
        <w:rPr>
          <w:rFonts w:cs="Times New Roman"/>
        </w:rPr>
        <w:t xml:space="preserve"> = 0.31, p = .13; </w:t>
      </w:r>
      <w:r>
        <w:rPr>
          <w:rFonts w:cs="Times New Roman"/>
          <w:i/>
        </w:rPr>
        <w:t>β</w:t>
      </w:r>
      <w:r>
        <w:rPr>
          <w:rFonts w:cs="Times New Roman"/>
        </w:rPr>
        <w:t xml:space="preserve"> = 0.34</w:t>
      </w:r>
      <w:r w:rsidR="00D21578">
        <w:rPr>
          <w:rFonts w:cs="Times New Roman"/>
        </w:rPr>
        <w:t xml:space="preserve">, p </w:t>
      </w:r>
      <w:r w:rsidR="00DD13D9">
        <w:rPr>
          <w:rFonts w:cs="Times New Roman"/>
        </w:rPr>
        <w:t>=</w:t>
      </w:r>
      <w:r w:rsidR="00D21578">
        <w:rPr>
          <w:rFonts w:cs="Times New Roman"/>
        </w:rPr>
        <w:t xml:space="preserve"> .</w:t>
      </w:r>
      <w:r w:rsidR="00DD13D9">
        <w:rPr>
          <w:rFonts w:cs="Times New Roman"/>
        </w:rPr>
        <w:t>1</w:t>
      </w:r>
      <w:r w:rsidR="001E748F">
        <w:rPr>
          <w:rFonts w:cs="Times New Roman"/>
        </w:rPr>
        <w:t>1</w:t>
      </w:r>
      <w:r>
        <w:rPr>
          <w:rFonts w:cs="Times New Roman"/>
        </w:rPr>
        <w:t xml:space="preserve">].  Compared with the participants in </w:t>
      </w:r>
      <w:r w:rsidR="004F3130">
        <w:rPr>
          <w:rFonts w:cs="Times New Roman"/>
        </w:rPr>
        <w:t xml:space="preserve">the genetic </w:t>
      </w:r>
      <w:r>
        <w:rPr>
          <w:rFonts w:cs="Times New Roman"/>
        </w:rPr>
        <w:t xml:space="preserve">condition, participants in the </w:t>
      </w:r>
      <w:r w:rsidR="004F3130">
        <w:rPr>
          <w:rFonts w:cs="Times New Roman"/>
        </w:rPr>
        <w:t xml:space="preserve">control </w:t>
      </w:r>
      <w:r>
        <w:rPr>
          <w:rFonts w:cs="Times New Roman"/>
        </w:rPr>
        <w:t xml:space="preserve">condition were not significantly different </w:t>
      </w:r>
      <w:r w:rsidR="004F3130">
        <w:rPr>
          <w:rFonts w:cs="Times New Roman"/>
        </w:rPr>
        <w:t xml:space="preserve">in their </w:t>
      </w:r>
      <w:r>
        <w:rPr>
          <w:rFonts w:cs="Times New Roman"/>
        </w:rPr>
        <w:t xml:space="preserve">evaluations of control, validity, or stability.  They only differed </w:t>
      </w:r>
      <w:r w:rsidR="004F3130">
        <w:rPr>
          <w:rFonts w:cs="Times New Roman"/>
        </w:rPr>
        <w:t xml:space="preserve">in their </w:t>
      </w:r>
      <w:r>
        <w:rPr>
          <w:rFonts w:cs="Times New Roman"/>
        </w:rPr>
        <w:t>proximal generalization</w:t>
      </w:r>
      <w:r w:rsidR="004F3130">
        <w:rPr>
          <w:rFonts w:cs="Times New Roman"/>
        </w:rPr>
        <w:t>s</w:t>
      </w:r>
      <w:r>
        <w:rPr>
          <w:rFonts w:cs="Times New Roman"/>
        </w:rPr>
        <w:t>, indicating that Jeremy burns calories less ably</w:t>
      </w:r>
      <w:r w:rsidR="00117217">
        <w:rPr>
          <w:rFonts w:cs="Times New Roman"/>
        </w:rPr>
        <w:t xml:space="preserve"> than in the genetic condition</w:t>
      </w:r>
      <w:r>
        <w:rPr>
          <w:rFonts w:cs="Times New Roman"/>
        </w:rPr>
        <w:t xml:space="preserve"> [</w:t>
      </w:r>
      <w:r w:rsidR="00CA63C2" w:rsidRPr="0053299F">
        <w:rPr>
          <w:rFonts w:cs="Times New Roman"/>
          <w:i/>
        </w:rPr>
        <w:t>β</w:t>
      </w:r>
      <w:r w:rsidR="00CA63C2">
        <w:rPr>
          <w:rFonts w:cs="Times New Roman"/>
        </w:rPr>
        <w:t xml:space="preserve"> = -0.53, p = .008; </w:t>
      </w:r>
      <w:r w:rsidRPr="0053299F">
        <w:rPr>
          <w:rFonts w:cs="Times New Roman"/>
          <w:i/>
        </w:rPr>
        <w:t>β</w:t>
      </w:r>
      <w:r>
        <w:rPr>
          <w:rFonts w:cs="Times New Roman"/>
        </w:rPr>
        <w:t xml:space="preserve"> = -0.60</w:t>
      </w:r>
      <w:r w:rsidR="00B03E5F">
        <w:rPr>
          <w:rFonts w:cs="Times New Roman"/>
        </w:rPr>
        <w:t xml:space="preserve">, p </w:t>
      </w:r>
      <w:r w:rsidR="0069746F">
        <w:rPr>
          <w:rFonts w:cs="Times New Roman"/>
        </w:rPr>
        <w:t>=</w:t>
      </w:r>
      <w:r w:rsidR="00B03E5F">
        <w:rPr>
          <w:rFonts w:cs="Times New Roman"/>
        </w:rPr>
        <w:t xml:space="preserve"> .0</w:t>
      </w:r>
      <w:r w:rsidR="00E2440D">
        <w:rPr>
          <w:rFonts w:cs="Times New Roman"/>
        </w:rPr>
        <w:t>02</w:t>
      </w:r>
      <w:r>
        <w:rPr>
          <w:rFonts w:cs="Times New Roman"/>
        </w:rPr>
        <w:t>].</w:t>
      </w:r>
    </w:p>
    <w:p w14:paraId="721D8838" w14:textId="4CA92BDB" w:rsidR="00D21806" w:rsidRDefault="00D21806" w:rsidP="00D21806">
      <w:pPr>
        <w:spacing w:line="480" w:lineRule="auto"/>
        <w:rPr>
          <w:rFonts w:cs="Times New Roman"/>
        </w:rPr>
      </w:pPr>
      <w:r>
        <w:rPr>
          <w:rFonts w:cs="Times New Roman"/>
          <w:b/>
        </w:rPr>
        <w:t>Attributional Style</w:t>
      </w:r>
      <w:r>
        <w:rPr>
          <w:rFonts w:cs="Times New Roman"/>
        </w:rPr>
        <w:t xml:space="preserve">.  Participants in the </w:t>
      </w:r>
      <w:r w:rsidR="004F3130">
        <w:rPr>
          <w:rFonts w:cs="Times New Roman"/>
        </w:rPr>
        <w:t xml:space="preserve">experiential </w:t>
      </w:r>
      <w:r>
        <w:rPr>
          <w:rFonts w:cs="Times New Roman"/>
        </w:rPr>
        <w:t>condition perceived the cause of Jeremy’s higher metabolism as being more external [</w:t>
      </w:r>
      <w:r w:rsidR="00CA63C2">
        <w:rPr>
          <w:rFonts w:cs="Times New Roman"/>
          <w:i/>
        </w:rPr>
        <w:t>β</w:t>
      </w:r>
      <w:r w:rsidR="00CA63C2">
        <w:rPr>
          <w:rFonts w:cs="Times New Roman"/>
        </w:rPr>
        <w:t xml:space="preserve"> = -0.71, p &lt; .001; </w:t>
      </w:r>
      <w:r w:rsidRPr="0053299F">
        <w:rPr>
          <w:rFonts w:cs="Times New Roman"/>
          <w:i/>
        </w:rPr>
        <w:t>β</w:t>
      </w:r>
      <w:r>
        <w:rPr>
          <w:rFonts w:cs="Times New Roman"/>
        </w:rPr>
        <w:t xml:space="preserve"> = -0.85</w:t>
      </w:r>
      <w:r w:rsidR="00D21578">
        <w:rPr>
          <w:rFonts w:cs="Times New Roman"/>
        </w:rPr>
        <w:t>, p &lt; .0</w:t>
      </w:r>
      <w:r w:rsidR="00C279C6">
        <w:rPr>
          <w:rFonts w:cs="Times New Roman"/>
        </w:rPr>
        <w:t>01</w:t>
      </w:r>
      <w:r>
        <w:rPr>
          <w:rFonts w:cs="Times New Roman"/>
        </w:rPr>
        <w:t xml:space="preserve">], and </w:t>
      </w:r>
      <w:r w:rsidR="00D5721D">
        <w:rPr>
          <w:rFonts w:cs="Times New Roman"/>
        </w:rPr>
        <w:t xml:space="preserve">more </w:t>
      </w:r>
      <w:r>
        <w:rPr>
          <w:rFonts w:cs="Times New Roman"/>
        </w:rPr>
        <w:t>malleable [</w:t>
      </w:r>
      <w:r w:rsidR="00CA63C2">
        <w:rPr>
          <w:rFonts w:cs="Times New Roman"/>
          <w:i/>
        </w:rPr>
        <w:t>β</w:t>
      </w:r>
      <w:r w:rsidR="00CA63C2">
        <w:rPr>
          <w:rFonts w:cs="Times New Roman"/>
        </w:rPr>
        <w:t xml:space="preserve"> = 0.57, p = .005; </w:t>
      </w:r>
      <w:r w:rsidRPr="0053299F">
        <w:rPr>
          <w:rFonts w:cs="Times New Roman"/>
          <w:i/>
        </w:rPr>
        <w:t>β</w:t>
      </w:r>
      <w:r>
        <w:rPr>
          <w:rFonts w:cs="Times New Roman"/>
        </w:rPr>
        <w:t xml:space="preserve"> = 0.6</w:t>
      </w:r>
      <w:r w:rsidR="008E301A">
        <w:rPr>
          <w:rFonts w:cs="Times New Roman"/>
        </w:rPr>
        <w:t>5</w:t>
      </w:r>
      <w:r w:rsidR="00D21578">
        <w:rPr>
          <w:rFonts w:cs="Times New Roman"/>
        </w:rPr>
        <w:t xml:space="preserve">, p </w:t>
      </w:r>
      <w:r w:rsidR="00C279C6">
        <w:rPr>
          <w:rFonts w:cs="Times New Roman"/>
        </w:rPr>
        <w:t>=</w:t>
      </w:r>
      <w:r w:rsidR="00D21578">
        <w:rPr>
          <w:rFonts w:cs="Times New Roman"/>
        </w:rPr>
        <w:t xml:space="preserve"> .0</w:t>
      </w:r>
      <w:r w:rsidR="00C279C6">
        <w:rPr>
          <w:rFonts w:cs="Times New Roman"/>
        </w:rPr>
        <w:t>03</w:t>
      </w:r>
      <w:r>
        <w:rPr>
          <w:rFonts w:cs="Times New Roman"/>
        </w:rPr>
        <w:t xml:space="preserve">] compared with participants in the </w:t>
      </w:r>
      <w:r w:rsidR="004F3130">
        <w:rPr>
          <w:rFonts w:cs="Times New Roman"/>
        </w:rPr>
        <w:t xml:space="preserve">genetic </w:t>
      </w:r>
      <w:r>
        <w:rPr>
          <w:rFonts w:cs="Times New Roman"/>
        </w:rPr>
        <w:t xml:space="preserve">condition.  They also viewed the cause as </w:t>
      </w:r>
      <w:r w:rsidR="00CA63C2">
        <w:rPr>
          <w:rFonts w:cs="Times New Roman"/>
        </w:rPr>
        <w:t>significantly/</w:t>
      </w:r>
      <w:r>
        <w:rPr>
          <w:rFonts w:cs="Times New Roman"/>
        </w:rPr>
        <w:t>marginally less specific to metabolism [</w:t>
      </w:r>
      <w:r w:rsidR="00CA63C2">
        <w:rPr>
          <w:rFonts w:cs="Times New Roman"/>
          <w:i/>
        </w:rPr>
        <w:t>β</w:t>
      </w:r>
      <w:r w:rsidR="00CA63C2">
        <w:rPr>
          <w:rFonts w:cs="Times New Roman"/>
        </w:rPr>
        <w:t xml:space="preserve"> = 0.42, p = .04; </w:t>
      </w:r>
      <w:r w:rsidRPr="0053299F">
        <w:rPr>
          <w:rFonts w:cs="Times New Roman"/>
          <w:i/>
        </w:rPr>
        <w:t>β</w:t>
      </w:r>
      <w:r>
        <w:rPr>
          <w:rFonts w:cs="Times New Roman"/>
        </w:rPr>
        <w:t xml:space="preserve"> = 0.39</w:t>
      </w:r>
      <w:r w:rsidR="00D21578">
        <w:rPr>
          <w:rFonts w:cs="Times New Roman"/>
        </w:rPr>
        <w:t xml:space="preserve">, p </w:t>
      </w:r>
      <w:r w:rsidR="00B37D1C">
        <w:rPr>
          <w:rFonts w:cs="Times New Roman"/>
        </w:rPr>
        <w:t>=</w:t>
      </w:r>
      <w:r w:rsidR="00D21578">
        <w:rPr>
          <w:rFonts w:cs="Times New Roman"/>
        </w:rPr>
        <w:t xml:space="preserve"> .</w:t>
      </w:r>
      <w:r w:rsidR="00B37D1C">
        <w:rPr>
          <w:rFonts w:cs="Times New Roman"/>
        </w:rPr>
        <w:t>06</w:t>
      </w:r>
      <w:r>
        <w:rPr>
          <w:rFonts w:cs="Times New Roman"/>
        </w:rPr>
        <w:t xml:space="preserve">] and viewed Jeremy’s control over the metabolic effect of the cause as </w:t>
      </w:r>
      <w:r w:rsidR="00CA63C2">
        <w:rPr>
          <w:rFonts w:cs="Times New Roman"/>
        </w:rPr>
        <w:t>significantly/</w:t>
      </w:r>
      <w:r>
        <w:rPr>
          <w:rFonts w:cs="Times New Roman"/>
        </w:rPr>
        <w:t>marginally more substantial [</w:t>
      </w:r>
      <w:r w:rsidR="00CA63C2">
        <w:rPr>
          <w:rFonts w:cs="Times New Roman"/>
          <w:i/>
        </w:rPr>
        <w:t>β</w:t>
      </w:r>
      <w:r w:rsidR="00CA63C2">
        <w:rPr>
          <w:rFonts w:cs="Times New Roman"/>
        </w:rPr>
        <w:t xml:space="preserve"> = 0.41, p = .05; </w:t>
      </w:r>
      <w:r w:rsidRPr="0053299F">
        <w:rPr>
          <w:rFonts w:cs="Times New Roman"/>
          <w:i/>
        </w:rPr>
        <w:t>β</w:t>
      </w:r>
      <w:r>
        <w:rPr>
          <w:rFonts w:cs="Times New Roman"/>
        </w:rPr>
        <w:t xml:space="preserve"> = 0.42</w:t>
      </w:r>
      <w:r w:rsidR="00D21578">
        <w:rPr>
          <w:rFonts w:cs="Times New Roman"/>
        </w:rPr>
        <w:t>, p</w:t>
      </w:r>
      <w:r w:rsidR="00117217">
        <w:rPr>
          <w:rFonts w:cs="Times New Roman"/>
        </w:rPr>
        <w:t xml:space="preserve"> </w:t>
      </w:r>
      <w:r w:rsidR="00A50483">
        <w:rPr>
          <w:rFonts w:cs="Times New Roman"/>
        </w:rPr>
        <w:t>=</w:t>
      </w:r>
      <w:r w:rsidR="00117217">
        <w:rPr>
          <w:rFonts w:cs="Times New Roman"/>
        </w:rPr>
        <w:t xml:space="preserve"> .</w:t>
      </w:r>
      <w:r w:rsidR="00A50483">
        <w:rPr>
          <w:rFonts w:cs="Times New Roman"/>
        </w:rPr>
        <w:t>0</w:t>
      </w:r>
      <w:r w:rsidR="001E748F">
        <w:rPr>
          <w:rFonts w:cs="Times New Roman"/>
        </w:rPr>
        <w:t>6</w:t>
      </w:r>
      <w:r>
        <w:rPr>
          <w:rFonts w:cs="Times New Roman"/>
        </w:rPr>
        <w:t xml:space="preserve">] compared with the participants in </w:t>
      </w:r>
      <w:r w:rsidR="004F3130">
        <w:rPr>
          <w:rFonts w:cs="Times New Roman"/>
        </w:rPr>
        <w:t>the genetic condition</w:t>
      </w:r>
      <w:r>
        <w:rPr>
          <w:rFonts w:cs="Times New Roman"/>
        </w:rPr>
        <w:t>.  There were no significant differences between these groups on caus</w:t>
      </w:r>
      <w:r w:rsidR="00345070">
        <w:rPr>
          <w:rFonts w:cs="Times New Roman"/>
        </w:rPr>
        <w:t>al</w:t>
      </w:r>
      <w:r>
        <w:rPr>
          <w:rFonts w:cs="Times New Roman"/>
        </w:rPr>
        <w:t xml:space="preserve"> stability evaluations.  Compared with the participants in the </w:t>
      </w:r>
      <w:r w:rsidR="004F3130">
        <w:rPr>
          <w:rFonts w:cs="Times New Roman"/>
        </w:rPr>
        <w:t xml:space="preserve">genetic </w:t>
      </w:r>
      <w:r>
        <w:rPr>
          <w:rFonts w:cs="Times New Roman"/>
        </w:rPr>
        <w:t xml:space="preserve">condition, participants in the </w:t>
      </w:r>
      <w:r w:rsidR="004F3130">
        <w:rPr>
          <w:rFonts w:cs="Times New Roman"/>
        </w:rPr>
        <w:t xml:space="preserve">control </w:t>
      </w:r>
      <w:r>
        <w:rPr>
          <w:rFonts w:cs="Times New Roman"/>
        </w:rPr>
        <w:t xml:space="preserve">condition viewed the cause as </w:t>
      </w:r>
      <w:r w:rsidR="00CA63C2">
        <w:rPr>
          <w:rFonts w:cs="Times New Roman"/>
        </w:rPr>
        <w:t xml:space="preserve">marginally/significantly </w:t>
      </w:r>
      <w:r>
        <w:rPr>
          <w:rFonts w:cs="Times New Roman"/>
        </w:rPr>
        <w:t>more malleable [</w:t>
      </w:r>
      <w:r w:rsidR="00CA63C2">
        <w:rPr>
          <w:rFonts w:cs="Times New Roman"/>
          <w:i/>
        </w:rPr>
        <w:t>β</w:t>
      </w:r>
      <w:r w:rsidR="00CA63C2">
        <w:rPr>
          <w:rFonts w:cs="Times New Roman"/>
        </w:rPr>
        <w:t xml:space="preserve"> = 0.33, p = .09; </w:t>
      </w:r>
      <w:r w:rsidRPr="0053299F">
        <w:rPr>
          <w:rFonts w:cs="Times New Roman"/>
          <w:i/>
        </w:rPr>
        <w:t>β</w:t>
      </w:r>
      <w:r>
        <w:rPr>
          <w:rFonts w:cs="Times New Roman"/>
        </w:rPr>
        <w:t xml:space="preserve"> = 0.42</w:t>
      </w:r>
      <w:r w:rsidR="00D21578">
        <w:rPr>
          <w:rFonts w:cs="Times New Roman"/>
        </w:rPr>
        <w:t xml:space="preserve">, p </w:t>
      </w:r>
      <w:r w:rsidR="00A63F55">
        <w:rPr>
          <w:rFonts w:cs="Times New Roman"/>
        </w:rPr>
        <w:t>=</w:t>
      </w:r>
      <w:r w:rsidR="00D21578">
        <w:rPr>
          <w:rFonts w:cs="Times New Roman"/>
        </w:rPr>
        <w:t xml:space="preserve"> .0</w:t>
      </w:r>
      <w:r w:rsidR="00A63F55">
        <w:rPr>
          <w:rFonts w:cs="Times New Roman"/>
        </w:rPr>
        <w:t>4</w:t>
      </w:r>
      <w:r>
        <w:rPr>
          <w:rFonts w:cs="Times New Roman"/>
        </w:rPr>
        <w:t xml:space="preserve">] and </w:t>
      </w:r>
      <w:r w:rsidR="00CA63C2">
        <w:rPr>
          <w:rFonts w:cs="Times New Roman"/>
        </w:rPr>
        <w:t>nominally/</w:t>
      </w:r>
      <w:r>
        <w:rPr>
          <w:rFonts w:cs="Times New Roman"/>
        </w:rPr>
        <w:t>marginally less specific to metabolism [</w:t>
      </w:r>
      <w:r w:rsidR="00CA63C2">
        <w:rPr>
          <w:rFonts w:cs="Times New Roman"/>
          <w:i/>
        </w:rPr>
        <w:t>β</w:t>
      </w:r>
      <w:r w:rsidR="00CA63C2">
        <w:rPr>
          <w:rFonts w:cs="Times New Roman"/>
        </w:rPr>
        <w:t xml:space="preserve"> = 0.32, p = .1</w:t>
      </w:r>
      <w:r w:rsidR="0047342B">
        <w:rPr>
          <w:rFonts w:cs="Times New Roman"/>
        </w:rPr>
        <w:t>1</w:t>
      </w:r>
      <w:r w:rsidR="00CA63C2">
        <w:rPr>
          <w:rFonts w:cs="Times New Roman"/>
        </w:rPr>
        <w:t xml:space="preserve">; </w:t>
      </w:r>
      <w:r w:rsidRPr="0053299F">
        <w:rPr>
          <w:rFonts w:cs="Times New Roman"/>
          <w:i/>
        </w:rPr>
        <w:t>β</w:t>
      </w:r>
      <w:r>
        <w:rPr>
          <w:rFonts w:cs="Times New Roman"/>
        </w:rPr>
        <w:t xml:space="preserve"> = 0.36</w:t>
      </w:r>
      <w:r w:rsidR="00D21578">
        <w:rPr>
          <w:rFonts w:cs="Times New Roman"/>
        </w:rPr>
        <w:t xml:space="preserve">, p </w:t>
      </w:r>
      <w:r w:rsidR="00287810">
        <w:rPr>
          <w:rFonts w:cs="Times New Roman"/>
        </w:rPr>
        <w:t>=</w:t>
      </w:r>
      <w:r w:rsidR="00D21578">
        <w:rPr>
          <w:rFonts w:cs="Times New Roman"/>
        </w:rPr>
        <w:t xml:space="preserve"> .</w:t>
      </w:r>
      <w:r w:rsidR="00287810">
        <w:rPr>
          <w:rFonts w:cs="Times New Roman"/>
        </w:rPr>
        <w:t>07</w:t>
      </w:r>
      <w:r>
        <w:rPr>
          <w:rFonts w:cs="Times New Roman"/>
        </w:rPr>
        <w:t xml:space="preserve">].  No other significant differences emerged (see Table 1). </w:t>
      </w:r>
    </w:p>
    <w:p w14:paraId="71FFC054" w14:textId="77777777" w:rsidR="00D21806" w:rsidRDefault="00D21806" w:rsidP="00D21806">
      <w:pPr>
        <w:spacing w:line="480" w:lineRule="auto"/>
        <w:rPr>
          <w:rFonts w:cs="Times New Roman"/>
        </w:rPr>
      </w:pPr>
      <w:r>
        <w:rPr>
          <w:rFonts w:cs="Times New Roman"/>
        </w:rPr>
        <w:tab/>
        <w:t>Taken together</w:t>
      </w:r>
      <w:r w:rsidR="00F65E24">
        <w:rPr>
          <w:rFonts w:cs="Times New Roman"/>
        </w:rPr>
        <w:t>,</w:t>
      </w:r>
      <w:r>
        <w:rPr>
          <w:rFonts w:cs="Times New Roman"/>
        </w:rPr>
        <w:t xml:space="preserve"> the results of the study indicate that </w:t>
      </w:r>
      <w:r w:rsidR="00AA1331">
        <w:rPr>
          <w:rFonts w:cs="Times New Roman"/>
        </w:rPr>
        <w:t xml:space="preserve">a </w:t>
      </w:r>
      <w:r w:rsidR="00001057">
        <w:rPr>
          <w:rFonts w:cs="Times New Roman"/>
        </w:rPr>
        <w:t>genetic attribution for high metaboli</w:t>
      </w:r>
      <w:r w:rsidR="00D5721D">
        <w:rPr>
          <w:rFonts w:cs="Times New Roman"/>
        </w:rPr>
        <w:t>c</w:t>
      </w:r>
      <w:r w:rsidR="00001057">
        <w:rPr>
          <w:rFonts w:cs="Times New Roman"/>
        </w:rPr>
        <w:t xml:space="preserve"> rate is interpreted as more valid, consequenti</w:t>
      </w:r>
      <w:r w:rsidR="00117217">
        <w:rPr>
          <w:rFonts w:cs="Times New Roman"/>
        </w:rPr>
        <w:t>al, and potent compared with a</w:t>
      </w:r>
      <w:r w:rsidR="00A10502">
        <w:rPr>
          <w:rFonts w:cs="Times New Roman"/>
        </w:rPr>
        <w:t>n experiential</w:t>
      </w:r>
      <w:r w:rsidR="00117217">
        <w:rPr>
          <w:rFonts w:cs="Times New Roman"/>
        </w:rPr>
        <w:t xml:space="preserve"> </w:t>
      </w:r>
      <w:r w:rsidR="00001057">
        <w:rPr>
          <w:rFonts w:cs="Times New Roman"/>
        </w:rPr>
        <w:t xml:space="preserve">attribution.  The </w:t>
      </w:r>
      <w:r w:rsidR="00001057">
        <w:rPr>
          <w:rFonts w:cs="Times New Roman"/>
        </w:rPr>
        <w:lastRenderedPageBreak/>
        <w:t>genetic cause is also evaluated as more internalized, less malleable, and more restrictive of individual ability to affect the phenotype</w:t>
      </w:r>
      <w:r w:rsidR="00D525B9">
        <w:rPr>
          <w:rFonts w:cs="Times New Roman"/>
        </w:rPr>
        <w:t xml:space="preserve">, even though the purported cause in the experiential condition </w:t>
      </w:r>
      <w:r w:rsidR="00117217">
        <w:rPr>
          <w:rFonts w:cs="Times New Roman"/>
        </w:rPr>
        <w:t>was whether one had been breast</w:t>
      </w:r>
      <w:r w:rsidR="00D525B9">
        <w:rPr>
          <w:rFonts w:cs="Times New Roman"/>
        </w:rPr>
        <w:t>fed as an infant, which is clearly beyond the individual’s ability to control</w:t>
      </w:r>
      <w:r w:rsidR="00001057">
        <w:rPr>
          <w:rFonts w:cs="Times New Roman"/>
        </w:rPr>
        <w:t>.  Interestingly, when individuals were not provided with a specific explanation for metabolic rate, people</w:t>
      </w:r>
      <w:r w:rsidR="000538FC">
        <w:rPr>
          <w:rFonts w:cs="Times New Roman"/>
        </w:rPr>
        <w:t>’s</w:t>
      </w:r>
      <w:r w:rsidR="00001057">
        <w:rPr>
          <w:rFonts w:cs="Times New Roman"/>
        </w:rPr>
        <w:t xml:space="preserve"> weight-related beliefs and evaluations of the cause often fell somewhere in between the genetic and experiential ratings, potentially indicating that both sort</w:t>
      </w:r>
      <w:r w:rsidR="004F3130">
        <w:rPr>
          <w:rFonts w:cs="Times New Roman"/>
        </w:rPr>
        <w:t>s</w:t>
      </w:r>
      <w:r w:rsidR="00001057">
        <w:rPr>
          <w:rFonts w:cs="Times New Roman"/>
        </w:rPr>
        <w:t xml:space="preserve"> of attributions may play a role in people’s </w:t>
      </w:r>
      <w:r w:rsidR="004F3130">
        <w:rPr>
          <w:rFonts w:cs="Times New Roman"/>
        </w:rPr>
        <w:t xml:space="preserve">default </w:t>
      </w:r>
      <w:r w:rsidR="00001057">
        <w:rPr>
          <w:rFonts w:cs="Times New Roman"/>
        </w:rPr>
        <w:t xml:space="preserve">causal </w:t>
      </w:r>
      <w:r w:rsidR="00117217">
        <w:rPr>
          <w:rFonts w:cs="Times New Roman"/>
        </w:rPr>
        <w:t>beliefs</w:t>
      </w:r>
      <w:r w:rsidR="00001057">
        <w:rPr>
          <w:rFonts w:cs="Times New Roman"/>
        </w:rPr>
        <w:t xml:space="preserve">. </w:t>
      </w:r>
      <w:r w:rsidR="002C2975">
        <w:rPr>
          <w:rFonts w:cs="Times New Roman"/>
        </w:rPr>
        <w:t xml:space="preserve"> </w:t>
      </w:r>
    </w:p>
    <w:p w14:paraId="7B825D9C" w14:textId="77777777" w:rsidR="00A93948" w:rsidRDefault="002C2975" w:rsidP="002C2975">
      <w:pPr>
        <w:spacing w:line="480" w:lineRule="auto"/>
        <w:ind w:firstLine="709"/>
        <w:rPr>
          <w:color w:val="000000"/>
        </w:rPr>
      </w:pPr>
      <w:r w:rsidRPr="00D21578">
        <w:t>Studies 1 and 2 indicated that beliefs related to control over one’s weight correlate with endorsement of genetic attributions (Study 1) and are experimentally affected by exposure to such attributions (Study 2).  Theoretical accounts and empirical findings converge to suggest that a</w:t>
      </w:r>
      <w:r w:rsidR="00A93948" w:rsidRPr="00D21578">
        <w:t xml:space="preserve"> decrease in perceived behavioral control reduces the likelihood of engaging in relevant weight-control behaviors (</w:t>
      </w:r>
      <w:r w:rsidRPr="00D21578">
        <w:rPr>
          <w:color w:val="000000"/>
        </w:rPr>
        <w:t xml:space="preserve">Armitage &amp; Conner, 1999; </w:t>
      </w:r>
      <w:r w:rsidRPr="00803580">
        <w:t xml:space="preserve">Azjen, 1991, </w:t>
      </w:r>
      <w:r w:rsidR="00803580" w:rsidRPr="00803580">
        <w:t>200</w:t>
      </w:r>
      <w:r w:rsidR="00803580">
        <w:t>2</w:t>
      </w:r>
      <w:r w:rsidR="00A93948" w:rsidRPr="00D21578">
        <w:rPr>
          <w:color w:val="000000"/>
        </w:rPr>
        <w:t xml:space="preserve">).  To explore </w:t>
      </w:r>
      <w:r w:rsidRPr="00D21578">
        <w:rPr>
          <w:color w:val="000000"/>
        </w:rPr>
        <w:t>the potential relevance of causal attributions,</w:t>
      </w:r>
      <w:r w:rsidR="00A93948" w:rsidRPr="00D21578">
        <w:rPr>
          <w:color w:val="000000"/>
        </w:rPr>
        <w:t xml:space="preserve"> we conducted a </w:t>
      </w:r>
      <w:r w:rsidRPr="00803580">
        <w:rPr>
          <w:color w:val="000000"/>
        </w:rPr>
        <w:t>third</w:t>
      </w:r>
      <w:r w:rsidR="00A93948" w:rsidRPr="00803580">
        <w:rPr>
          <w:color w:val="000000"/>
        </w:rPr>
        <w:t xml:space="preserve"> study to test the effects of exposure to genetic and environmental explanations for obesity on actual behavior.</w:t>
      </w:r>
    </w:p>
    <w:p w14:paraId="534E16B1" w14:textId="77777777" w:rsidR="00627CC6" w:rsidRDefault="00627CC6">
      <w:pPr>
        <w:widowControl/>
        <w:suppressAutoHyphens w:val="0"/>
        <w:rPr>
          <w:rFonts w:cs="Times New Roman"/>
        </w:rPr>
        <w:sectPr w:rsidR="00627CC6" w:rsidSect="00E349B8">
          <w:headerReference w:type="even" r:id="rId9"/>
          <w:headerReference w:type="default" r:id="rId10"/>
          <w:pgSz w:w="12240" w:h="15840"/>
          <w:pgMar w:top="1134" w:right="1134" w:bottom="1134" w:left="1134" w:header="720" w:footer="720" w:gutter="0"/>
          <w:lnNumType w:countBy="1"/>
          <w:cols w:space="720"/>
          <w:docGrid w:linePitch="360"/>
        </w:sectPr>
      </w:pPr>
      <w:r>
        <w:rPr>
          <w:rFonts w:cs="Times New Roman"/>
        </w:rPr>
        <w:br w:type="page"/>
      </w:r>
    </w:p>
    <w:p w14:paraId="75C9693A" w14:textId="77777777" w:rsidR="00627CC6" w:rsidRDefault="00627CC6">
      <w:pPr>
        <w:widowControl/>
        <w:suppressAutoHyphens w:val="0"/>
        <w:rPr>
          <w:rFonts w:cs="Times New Roman"/>
        </w:rPr>
      </w:pPr>
    </w:p>
    <w:p w14:paraId="4AD6C99C" w14:textId="77777777" w:rsidR="00627CC6" w:rsidRPr="00BA670E" w:rsidRDefault="00627CC6" w:rsidP="00627CC6">
      <w:pPr>
        <w:spacing w:line="480" w:lineRule="auto"/>
        <w:rPr>
          <w:rFonts w:cs="Times New Roman"/>
        </w:rPr>
      </w:pPr>
      <w:r w:rsidRPr="00BA670E">
        <w:rPr>
          <w:rFonts w:cs="Times New Roman"/>
        </w:rPr>
        <w:t>Table 1:</w:t>
      </w:r>
      <w:r>
        <w:rPr>
          <w:rFonts w:cs="Times New Roman"/>
        </w:rPr>
        <w:t xml:space="preserve"> Standardized regression coefficients (and SEs) indicating</w:t>
      </w:r>
      <w:r w:rsidR="00386DFC">
        <w:rPr>
          <w:rFonts w:cs="Times New Roman"/>
        </w:rPr>
        <w:t xml:space="preserve"> covariates,</w:t>
      </w:r>
      <w:r>
        <w:rPr>
          <w:rFonts w:cs="Times New Roman"/>
        </w:rPr>
        <w:t xml:space="preserve"> the effects of offering an experiential explanation (E)</w:t>
      </w:r>
      <w:r w:rsidR="00386DFC">
        <w:rPr>
          <w:rFonts w:cs="Times New Roman"/>
        </w:rPr>
        <w:t>,</w:t>
      </w:r>
      <w:r>
        <w:rPr>
          <w:rFonts w:cs="Times New Roman"/>
        </w:rPr>
        <w:t xml:space="preserve"> or an undefined explanation (Control) compared with a genetic explanation for fast metabolic rate</w:t>
      </w:r>
    </w:p>
    <w:tbl>
      <w:tblPr>
        <w:tblStyle w:val="TableGrid"/>
        <w:tblW w:w="0" w:type="auto"/>
        <w:tblInd w:w="-45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276"/>
        <w:gridCol w:w="1276"/>
        <w:gridCol w:w="1134"/>
        <w:gridCol w:w="1701"/>
        <w:gridCol w:w="1276"/>
        <w:gridCol w:w="1417"/>
        <w:gridCol w:w="1843"/>
        <w:gridCol w:w="1701"/>
        <w:gridCol w:w="142"/>
        <w:gridCol w:w="1134"/>
      </w:tblGrid>
      <w:tr w:rsidR="00627CC6" w:rsidRPr="00BA670E" w14:paraId="4C19DAE4" w14:textId="77777777" w:rsidTr="00177C49">
        <w:tc>
          <w:tcPr>
            <w:tcW w:w="1134" w:type="dxa"/>
            <w:tcBorders>
              <w:top w:val="single" w:sz="4" w:space="0" w:color="auto"/>
              <w:bottom w:val="nil"/>
            </w:tcBorders>
          </w:tcPr>
          <w:p w14:paraId="2D01431C" w14:textId="77777777" w:rsidR="00627CC6" w:rsidRPr="00BA670E" w:rsidRDefault="00627CC6" w:rsidP="00177C49">
            <w:pPr>
              <w:spacing w:line="480" w:lineRule="auto"/>
              <w:rPr>
                <w:rFonts w:ascii="Times New Roman" w:hAnsi="Times New Roman" w:cs="Times New Roman"/>
              </w:rPr>
            </w:pPr>
          </w:p>
        </w:tc>
        <w:tc>
          <w:tcPr>
            <w:tcW w:w="5387" w:type="dxa"/>
            <w:gridSpan w:val="4"/>
            <w:tcBorders>
              <w:top w:val="single" w:sz="4" w:space="0" w:color="auto"/>
              <w:bottom w:val="nil"/>
              <w:right w:val="single" w:sz="4" w:space="0" w:color="auto"/>
            </w:tcBorders>
          </w:tcPr>
          <w:p w14:paraId="2478500E" w14:textId="77777777" w:rsidR="00627CC6" w:rsidRPr="00BA670E" w:rsidRDefault="00627CC6" w:rsidP="00177C49">
            <w:pPr>
              <w:spacing w:line="480" w:lineRule="auto"/>
              <w:jc w:val="center"/>
              <w:rPr>
                <w:rFonts w:ascii="Times New Roman" w:hAnsi="Times New Roman" w:cs="Times New Roman"/>
              </w:rPr>
            </w:pPr>
            <w:r>
              <w:rPr>
                <w:rFonts w:ascii="Times New Roman" w:hAnsi="Times New Roman" w:cs="Times New Roman"/>
              </w:rPr>
              <w:t>Beliefs about weight</w:t>
            </w:r>
          </w:p>
        </w:tc>
        <w:tc>
          <w:tcPr>
            <w:tcW w:w="7513" w:type="dxa"/>
            <w:gridSpan w:val="6"/>
            <w:tcBorders>
              <w:top w:val="single" w:sz="4" w:space="0" w:color="auto"/>
              <w:left w:val="single" w:sz="4" w:space="0" w:color="auto"/>
              <w:bottom w:val="nil"/>
            </w:tcBorders>
          </w:tcPr>
          <w:p w14:paraId="36A3FC7B" w14:textId="77777777" w:rsidR="00627CC6" w:rsidRPr="00BA670E" w:rsidRDefault="00627CC6" w:rsidP="00177C49">
            <w:pPr>
              <w:spacing w:line="480" w:lineRule="auto"/>
              <w:jc w:val="center"/>
              <w:rPr>
                <w:rFonts w:ascii="Times New Roman" w:hAnsi="Times New Roman" w:cs="Times New Roman"/>
              </w:rPr>
            </w:pPr>
            <w:r>
              <w:rPr>
                <w:rFonts w:ascii="Times New Roman" w:hAnsi="Times New Roman" w:cs="Times New Roman"/>
              </w:rPr>
              <w:t>Attributional styles (evaluation of the cause)</w:t>
            </w:r>
          </w:p>
        </w:tc>
      </w:tr>
      <w:tr w:rsidR="00627CC6" w:rsidRPr="00BA670E" w14:paraId="1681099D" w14:textId="77777777" w:rsidTr="00177C49">
        <w:tc>
          <w:tcPr>
            <w:tcW w:w="1134" w:type="dxa"/>
            <w:tcBorders>
              <w:top w:val="nil"/>
              <w:bottom w:val="single" w:sz="4" w:space="0" w:color="auto"/>
            </w:tcBorders>
          </w:tcPr>
          <w:p w14:paraId="16EF3F5D" w14:textId="77777777" w:rsidR="00627CC6" w:rsidRPr="00BA670E" w:rsidRDefault="00627CC6" w:rsidP="00177C49">
            <w:pPr>
              <w:spacing w:line="480" w:lineRule="auto"/>
              <w:rPr>
                <w:rFonts w:ascii="Times New Roman" w:hAnsi="Times New Roman" w:cs="Times New Roman"/>
              </w:rPr>
            </w:pPr>
          </w:p>
        </w:tc>
        <w:tc>
          <w:tcPr>
            <w:tcW w:w="1276" w:type="dxa"/>
            <w:tcBorders>
              <w:top w:val="nil"/>
              <w:bottom w:val="single" w:sz="4" w:space="0" w:color="auto"/>
            </w:tcBorders>
          </w:tcPr>
          <w:p w14:paraId="735E80CA"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C</w:t>
            </w:r>
            <w:r w:rsidRPr="00BA670E">
              <w:rPr>
                <w:rFonts w:ascii="Times New Roman" w:hAnsi="Times New Roman" w:cs="Times New Roman"/>
              </w:rPr>
              <w:t>ontrol</w:t>
            </w:r>
          </w:p>
        </w:tc>
        <w:tc>
          <w:tcPr>
            <w:tcW w:w="1276" w:type="dxa"/>
            <w:tcBorders>
              <w:top w:val="nil"/>
              <w:bottom w:val="single" w:sz="4" w:space="0" w:color="auto"/>
            </w:tcBorders>
          </w:tcPr>
          <w:p w14:paraId="0B7FB375"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Validity</w:t>
            </w:r>
          </w:p>
        </w:tc>
        <w:tc>
          <w:tcPr>
            <w:tcW w:w="1134" w:type="dxa"/>
            <w:tcBorders>
              <w:top w:val="nil"/>
              <w:bottom w:val="single" w:sz="4" w:space="0" w:color="auto"/>
            </w:tcBorders>
          </w:tcPr>
          <w:p w14:paraId="3D143C89"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Stability</w:t>
            </w:r>
          </w:p>
        </w:tc>
        <w:tc>
          <w:tcPr>
            <w:tcW w:w="1701" w:type="dxa"/>
            <w:tcBorders>
              <w:top w:val="nil"/>
              <w:bottom w:val="single" w:sz="4" w:space="0" w:color="auto"/>
              <w:right w:val="single" w:sz="4" w:space="0" w:color="auto"/>
            </w:tcBorders>
          </w:tcPr>
          <w:p w14:paraId="4C6333FA"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Generalization</w:t>
            </w:r>
          </w:p>
        </w:tc>
        <w:tc>
          <w:tcPr>
            <w:tcW w:w="1276" w:type="dxa"/>
            <w:tcBorders>
              <w:top w:val="nil"/>
              <w:left w:val="single" w:sz="4" w:space="0" w:color="auto"/>
              <w:bottom w:val="single" w:sz="4" w:space="0" w:color="auto"/>
            </w:tcBorders>
          </w:tcPr>
          <w:p w14:paraId="14CDE05B"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Locus</w:t>
            </w:r>
          </w:p>
        </w:tc>
        <w:tc>
          <w:tcPr>
            <w:tcW w:w="1417" w:type="dxa"/>
            <w:tcBorders>
              <w:top w:val="nil"/>
              <w:bottom w:val="single" w:sz="4" w:space="0" w:color="auto"/>
            </w:tcBorders>
          </w:tcPr>
          <w:p w14:paraId="3924B111"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Malleability</w:t>
            </w:r>
          </w:p>
        </w:tc>
        <w:tc>
          <w:tcPr>
            <w:tcW w:w="1843" w:type="dxa"/>
            <w:tcBorders>
              <w:top w:val="nil"/>
              <w:bottom w:val="single" w:sz="4" w:space="0" w:color="auto"/>
            </w:tcBorders>
          </w:tcPr>
          <w:p w14:paraId="4FA9A0E2"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Generalizability</w:t>
            </w:r>
          </w:p>
        </w:tc>
        <w:tc>
          <w:tcPr>
            <w:tcW w:w="1701" w:type="dxa"/>
            <w:tcBorders>
              <w:top w:val="nil"/>
              <w:bottom w:val="single" w:sz="4" w:space="0" w:color="auto"/>
            </w:tcBorders>
          </w:tcPr>
          <w:p w14:paraId="398DD16C"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Controllability</w:t>
            </w:r>
          </w:p>
        </w:tc>
        <w:tc>
          <w:tcPr>
            <w:tcW w:w="1276" w:type="dxa"/>
            <w:gridSpan w:val="2"/>
            <w:tcBorders>
              <w:top w:val="nil"/>
              <w:bottom w:val="single" w:sz="4" w:space="0" w:color="auto"/>
            </w:tcBorders>
          </w:tcPr>
          <w:p w14:paraId="10A7F57A"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Stability</w:t>
            </w:r>
          </w:p>
        </w:tc>
      </w:tr>
      <w:tr w:rsidR="00627CC6" w:rsidRPr="00BA670E" w14:paraId="34CA04D3" w14:textId="77777777" w:rsidTr="00177C49">
        <w:tc>
          <w:tcPr>
            <w:tcW w:w="1134" w:type="dxa"/>
            <w:tcBorders>
              <w:top w:val="single" w:sz="4" w:space="0" w:color="auto"/>
            </w:tcBorders>
          </w:tcPr>
          <w:p w14:paraId="6F5A79AA" w14:textId="77777777" w:rsidR="00627CC6" w:rsidRPr="00BA670E" w:rsidRDefault="00627CC6" w:rsidP="00177C49">
            <w:pPr>
              <w:spacing w:line="480" w:lineRule="auto"/>
              <w:rPr>
                <w:rFonts w:ascii="Times New Roman" w:hAnsi="Times New Roman" w:cs="Times New Roman"/>
              </w:rPr>
            </w:pPr>
            <w:r w:rsidRPr="00BA670E">
              <w:rPr>
                <w:rFonts w:ascii="Times New Roman" w:hAnsi="Times New Roman" w:cs="Times New Roman"/>
              </w:rPr>
              <w:t xml:space="preserve">Intercept </w:t>
            </w:r>
          </w:p>
        </w:tc>
        <w:tc>
          <w:tcPr>
            <w:tcW w:w="1276" w:type="dxa"/>
            <w:tcBorders>
              <w:top w:val="single" w:sz="4" w:space="0" w:color="auto"/>
            </w:tcBorders>
          </w:tcPr>
          <w:p w14:paraId="7CFA6059"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.26(.18)</w:t>
            </w:r>
          </w:p>
        </w:tc>
        <w:tc>
          <w:tcPr>
            <w:tcW w:w="1276" w:type="dxa"/>
            <w:tcBorders>
              <w:top w:val="single" w:sz="4" w:space="0" w:color="auto"/>
            </w:tcBorders>
          </w:tcPr>
          <w:p w14:paraId="2C4F1E42"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.23(.17)</w:t>
            </w:r>
          </w:p>
        </w:tc>
        <w:tc>
          <w:tcPr>
            <w:tcW w:w="1134" w:type="dxa"/>
            <w:tcBorders>
              <w:top w:val="single" w:sz="4" w:space="0" w:color="auto"/>
            </w:tcBorders>
          </w:tcPr>
          <w:p w14:paraId="7248A16A"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-.26(.18)</w:t>
            </w:r>
          </w:p>
        </w:tc>
        <w:tc>
          <w:tcPr>
            <w:tcW w:w="1701" w:type="dxa"/>
            <w:tcBorders>
              <w:top w:val="single" w:sz="4" w:space="0" w:color="auto"/>
            </w:tcBorders>
          </w:tcPr>
          <w:p w14:paraId="67655EBC"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.38(.18)*</w:t>
            </w:r>
          </w:p>
        </w:tc>
        <w:tc>
          <w:tcPr>
            <w:tcW w:w="1276" w:type="dxa"/>
            <w:tcBorders>
              <w:top w:val="single" w:sz="4" w:space="0" w:color="auto"/>
            </w:tcBorders>
          </w:tcPr>
          <w:p w14:paraId="36F03C9F"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-.03(.18)</w:t>
            </w:r>
          </w:p>
        </w:tc>
        <w:tc>
          <w:tcPr>
            <w:tcW w:w="1417" w:type="dxa"/>
            <w:tcBorders>
              <w:top w:val="single" w:sz="4" w:space="0" w:color="auto"/>
            </w:tcBorders>
          </w:tcPr>
          <w:p w14:paraId="39526FF0"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-.34(.19)†</w:t>
            </w:r>
          </w:p>
        </w:tc>
        <w:tc>
          <w:tcPr>
            <w:tcW w:w="1843" w:type="dxa"/>
            <w:tcBorders>
              <w:top w:val="single" w:sz="4" w:space="0" w:color="auto"/>
            </w:tcBorders>
          </w:tcPr>
          <w:p w14:paraId="2A9D0B4D"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-.45(18)*</w:t>
            </w:r>
          </w:p>
        </w:tc>
        <w:tc>
          <w:tcPr>
            <w:tcW w:w="1701" w:type="dxa"/>
            <w:tcBorders>
              <w:top w:val="single" w:sz="4" w:space="0" w:color="auto"/>
            </w:tcBorders>
          </w:tcPr>
          <w:p w14:paraId="65C75CE4"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-.33(.19)†</w:t>
            </w:r>
          </w:p>
        </w:tc>
        <w:tc>
          <w:tcPr>
            <w:tcW w:w="1276" w:type="dxa"/>
            <w:gridSpan w:val="2"/>
            <w:tcBorders>
              <w:top w:val="single" w:sz="4" w:space="0" w:color="auto"/>
            </w:tcBorders>
          </w:tcPr>
          <w:p w14:paraId="2C438174"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-.21(.19)</w:t>
            </w:r>
          </w:p>
        </w:tc>
      </w:tr>
      <w:tr w:rsidR="00627CC6" w:rsidRPr="00BA670E" w14:paraId="4AAFAE48" w14:textId="77777777" w:rsidTr="00177C49">
        <w:tc>
          <w:tcPr>
            <w:tcW w:w="1134" w:type="dxa"/>
          </w:tcPr>
          <w:p w14:paraId="4527E9A5" w14:textId="77777777" w:rsidR="00627CC6" w:rsidRPr="00E333C6" w:rsidRDefault="00627CC6" w:rsidP="00177C49">
            <w:pPr>
              <w:spacing w:line="480" w:lineRule="auto"/>
              <w:rPr>
                <w:rFonts w:ascii="Times New Roman" w:hAnsi="Times New Roman" w:cs="Times New Roman"/>
                <w:vertAlign w:val="superscript"/>
              </w:rPr>
            </w:pPr>
            <w:r w:rsidRPr="00BA670E">
              <w:rPr>
                <w:rFonts w:ascii="Times New Roman" w:hAnsi="Times New Roman" w:cs="Times New Roman"/>
              </w:rPr>
              <w:t>zAge</w:t>
            </w:r>
          </w:p>
        </w:tc>
        <w:tc>
          <w:tcPr>
            <w:tcW w:w="1276" w:type="dxa"/>
          </w:tcPr>
          <w:p w14:paraId="273B345D"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.14(.08)</w:t>
            </w:r>
          </w:p>
        </w:tc>
        <w:tc>
          <w:tcPr>
            <w:tcW w:w="1276" w:type="dxa"/>
          </w:tcPr>
          <w:p w14:paraId="255489F6"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-.36(.08)*</w:t>
            </w:r>
          </w:p>
        </w:tc>
        <w:tc>
          <w:tcPr>
            <w:tcW w:w="1134" w:type="dxa"/>
          </w:tcPr>
          <w:p w14:paraId="373D625B"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.14(.08)†</w:t>
            </w:r>
          </w:p>
        </w:tc>
        <w:tc>
          <w:tcPr>
            <w:tcW w:w="1701" w:type="dxa"/>
          </w:tcPr>
          <w:p w14:paraId="48F31B8B"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-.10(.08)</w:t>
            </w:r>
          </w:p>
        </w:tc>
        <w:tc>
          <w:tcPr>
            <w:tcW w:w="1276" w:type="dxa"/>
          </w:tcPr>
          <w:p w14:paraId="31747F36"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.14(.08)†</w:t>
            </w:r>
          </w:p>
        </w:tc>
        <w:tc>
          <w:tcPr>
            <w:tcW w:w="1417" w:type="dxa"/>
          </w:tcPr>
          <w:p w14:paraId="5D40FAAE"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.07(.08)</w:t>
            </w:r>
          </w:p>
        </w:tc>
        <w:tc>
          <w:tcPr>
            <w:tcW w:w="1843" w:type="dxa"/>
          </w:tcPr>
          <w:p w14:paraId="20DDCAAB"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0(.08)</w:t>
            </w:r>
          </w:p>
        </w:tc>
        <w:tc>
          <w:tcPr>
            <w:tcW w:w="1843" w:type="dxa"/>
            <w:gridSpan w:val="2"/>
          </w:tcPr>
          <w:p w14:paraId="77B4B359"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.12(.09)</w:t>
            </w:r>
          </w:p>
        </w:tc>
        <w:tc>
          <w:tcPr>
            <w:tcW w:w="1134" w:type="dxa"/>
          </w:tcPr>
          <w:p w14:paraId="6A514422"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-.02(.09)</w:t>
            </w:r>
          </w:p>
        </w:tc>
      </w:tr>
      <w:tr w:rsidR="00627CC6" w:rsidRPr="00BA670E" w14:paraId="2548E145" w14:textId="77777777" w:rsidTr="00177C49">
        <w:tc>
          <w:tcPr>
            <w:tcW w:w="1134" w:type="dxa"/>
          </w:tcPr>
          <w:p w14:paraId="50BDE981" w14:textId="77777777" w:rsidR="00627CC6" w:rsidRPr="00BA670E" w:rsidRDefault="00627CC6" w:rsidP="00177C49">
            <w:pPr>
              <w:spacing w:line="480" w:lineRule="auto"/>
              <w:rPr>
                <w:rFonts w:ascii="Times New Roman" w:hAnsi="Times New Roman" w:cs="Times New Roman"/>
              </w:rPr>
            </w:pPr>
            <w:r w:rsidRPr="00BA670E">
              <w:rPr>
                <w:rFonts w:ascii="Times New Roman" w:hAnsi="Times New Roman" w:cs="Times New Roman"/>
              </w:rPr>
              <w:t>Gender</w:t>
            </w:r>
          </w:p>
        </w:tc>
        <w:tc>
          <w:tcPr>
            <w:tcW w:w="1276" w:type="dxa"/>
          </w:tcPr>
          <w:p w14:paraId="20B3E28A"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-.51(.18)*</w:t>
            </w:r>
          </w:p>
        </w:tc>
        <w:tc>
          <w:tcPr>
            <w:tcW w:w="1276" w:type="dxa"/>
          </w:tcPr>
          <w:p w14:paraId="30069875"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0(.17)</w:t>
            </w:r>
          </w:p>
        </w:tc>
        <w:tc>
          <w:tcPr>
            <w:tcW w:w="1134" w:type="dxa"/>
          </w:tcPr>
          <w:p w14:paraId="08138F8F"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.05(.18)</w:t>
            </w:r>
          </w:p>
        </w:tc>
        <w:tc>
          <w:tcPr>
            <w:tcW w:w="1701" w:type="dxa"/>
          </w:tcPr>
          <w:p w14:paraId="71770643"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.07(.18)</w:t>
            </w:r>
          </w:p>
        </w:tc>
        <w:tc>
          <w:tcPr>
            <w:tcW w:w="1276" w:type="dxa"/>
          </w:tcPr>
          <w:p w14:paraId="7E3823B5"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.48(.17)*</w:t>
            </w:r>
          </w:p>
        </w:tc>
        <w:tc>
          <w:tcPr>
            <w:tcW w:w="1417" w:type="dxa"/>
          </w:tcPr>
          <w:p w14:paraId="4ABEE232"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-.02(.18)</w:t>
            </w:r>
          </w:p>
        </w:tc>
        <w:tc>
          <w:tcPr>
            <w:tcW w:w="1843" w:type="dxa"/>
          </w:tcPr>
          <w:p w14:paraId="17F8735B"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.30(.18)</w:t>
            </w:r>
          </w:p>
        </w:tc>
        <w:tc>
          <w:tcPr>
            <w:tcW w:w="1701" w:type="dxa"/>
          </w:tcPr>
          <w:p w14:paraId="316E1FB5"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.20(.19)</w:t>
            </w:r>
          </w:p>
        </w:tc>
        <w:tc>
          <w:tcPr>
            <w:tcW w:w="1276" w:type="dxa"/>
            <w:gridSpan w:val="2"/>
          </w:tcPr>
          <w:p w14:paraId="68C33EB0"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.37(.19)*</w:t>
            </w:r>
          </w:p>
        </w:tc>
      </w:tr>
      <w:tr w:rsidR="00627CC6" w:rsidRPr="00BA670E" w14:paraId="4EE2EE34" w14:textId="77777777" w:rsidTr="00177C49">
        <w:tc>
          <w:tcPr>
            <w:tcW w:w="1134" w:type="dxa"/>
          </w:tcPr>
          <w:p w14:paraId="77F6ED27" w14:textId="77777777" w:rsidR="00627CC6" w:rsidRPr="00BA670E" w:rsidRDefault="00627CC6" w:rsidP="00177C49">
            <w:pPr>
              <w:spacing w:line="480" w:lineRule="auto"/>
              <w:rPr>
                <w:rFonts w:ascii="Times New Roman" w:hAnsi="Times New Roman" w:cs="Times New Roman"/>
              </w:rPr>
            </w:pPr>
            <w:r w:rsidRPr="00BA670E">
              <w:rPr>
                <w:rFonts w:ascii="Times New Roman" w:hAnsi="Times New Roman" w:cs="Times New Roman"/>
              </w:rPr>
              <w:t>zBMI</w:t>
            </w:r>
          </w:p>
        </w:tc>
        <w:tc>
          <w:tcPr>
            <w:tcW w:w="1276" w:type="dxa"/>
          </w:tcPr>
          <w:p w14:paraId="56F4F03F"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.04(.08)</w:t>
            </w:r>
          </w:p>
        </w:tc>
        <w:tc>
          <w:tcPr>
            <w:tcW w:w="1276" w:type="dxa"/>
          </w:tcPr>
          <w:p w14:paraId="0DB17D20"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.04(.08)</w:t>
            </w:r>
          </w:p>
        </w:tc>
        <w:tc>
          <w:tcPr>
            <w:tcW w:w="1134" w:type="dxa"/>
          </w:tcPr>
          <w:p w14:paraId="6D19FF1A"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-.04(.08)</w:t>
            </w:r>
          </w:p>
        </w:tc>
        <w:tc>
          <w:tcPr>
            <w:tcW w:w="1701" w:type="dxa"/>
          </w:tcPr>
          <w:p w14:paraId="195C776B"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.02(.08)</w:t>
            </w:r>
          </w:p>
        </w:tc>
        <w:tc>
          <w:tcPr>
            <w:tcW w:w="1276" w:type="dxa"/>
          </w:tcPr>
          <w:p w14:paraId="0B5DF7CD"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.04(.08)</w:t>
            </w:r>
          </w:p>
        </w:tc>
        <w:tc>
          <w:tcPr>
            <w:tcW w:w="1417" w:type="dxa"/>
          </w:tcPr>
          <w:p w14:paraId="2EF8223B"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-.01(.08)</w:t>
            </w:r>
          </w:p>
        </w:tc>
        <w:tc>
          <w:tcPr>
            <w:tcW w:w="1843" w:type="dxa"/>
          </w:tcPr>
          <w:p w14:paraId="0045F21A"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-.03(.08)</w:t>
            </w:r>
          </w:p>
        </w:tc>
        <w:tc>
          <w:tcPr>
            <w:tcW w:w="1701" w:type="dxa"/>
          </w:tcPr>
          <w:p w14:paraId="1665798F"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.09(.09)</w:t>
            </w:r>
          </w:p>
        </w:tc>
        <w:tc>
          <w:tcPr>
            <w:tcW w:w="1276" w:type="dxa"/>
            <w:gridSpan w:val="2"/>
          </w:tcPr>
          <w:p w14:paraId="4DF51993"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.04(.09)</w:t>
            </w:r>
          </w:p>
        </w:tc>
      </w:tr>
      <w:tr w:rsidR="00627CC6" w:rsidRPr="00BA670E" w14:paraId="54A09EF4" w14:textId="77777777" w:rsidTr="00177C49">
        <w:tc>
          <w:tcPr>
            <w:tcW w:w="1134" w:type="dxa"/>
          </w:tcPr>
          <w:p w14:paraId="72D93015" w14:textId="77777777" w:rsidR="00627CC6" w:rsidRPr="00151890" w:rsidRDefault="00627CC6" w:rsidP="00177C49">
            <w:pPr>
              <w:spacing w:line="480" w:lineRule="auto"/>
              <w:rPr>
                <w:rFonts w:ascii="Times New Roman" w:hAnsi="Times New Roman" w:cs="Times New Roman"/>
                <w:b/>
              </w:rPr>
            </w:pPr>
            <w:r w:rsidRPr="00151890">
              <w:rPr>
                <w:rFonts w:ascii="Times New Roman" w:hAnsi="Times New Roman" w:cs="Times New Roman"/>
                <w:b/>
              </w:rPr>
              <w:t>E</w:t>
            </w:r>
          </w:p>
        </w:tc>
        <w:tc>
          <w:tcPr>
            <w:tcW w:w="1276" w:type="dxa"/>
          </w:tcPr>
          <w:p w14:paraId="111684C0" w14:textId="77777777" w:rsidR="00627CC6" w:rsidRPr="009A30BF" w:rsidRDefault="00627CC6" w:rsidP="00177C49">
            <w:pPr>
              <w:spacing w:line="480" w:lineRule="auto"/>
              <w:rPr>
                <w:rFonts w:ascii="Times New Roman" w:hAnsi="Times New Roman" w:cs="Times New Roman"/>
                <w:b/>
              </w:rPr>
            </w:pPr>
            <w:r w:rsidRPr="009A30BF">
              <w:rPr>
                <w:rFonts w:ascii="Times New Roman" w:hAnsi="Times New Roman" w:cs="Times New Roman"/>
                <w:b/>
              </w:rPr>
              <w:t>.42(.21)*</w:t>
            </w:r>
          </w:p>
        </w:tc>
        <w:tc>
          <w:tcPr>
            <w:tcW w:w="1276" w:type="dxa"/>
          </w:tcPr>
          <w:p w14:paraId="27EF7B9D" w14:textId="77777777" w:rsidR="00627CC6" w:rsidRPr="009A30BF" w:rsidRDefault="00627CC6" w:rsidP="00177C49">
            <w:pPr>
              <w:spacing w:line="480" w:lineRule="auto"/>
              <w:rPr>
                <w:rFonts w:ascii="Times New Roman" w:hAnsi="Times New Roman" w:cs="Times New Roman"/>
                <w:b/>
              </w:rPr>
            </w:pPr>
            <w:r w:rsidRPr="009A30BF">
              <w:rPr>
                <w:rFonts w:ascii="Times New Roman" w:hAnsi="Times New Roman" w:cs="Times New Roman"/>
                <w:b/>
              </w:rPr>
              <w:t>-.43(.20)*</w:t>
            </w:r>
          </w:p>
        </w:tc>
        <w:tc>
          <w:tcPr>
            <w:tcW w:w="1134" w:type="dxa"/>
          </w:tcPr>
          <w:p w14:paraId="296602EA"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.34(.21)</w:t>
            </w:r>
          </w:p>
        </w:tc>
        <w:tc>
          <w:tcPr>
            <w:tcW w:w="1701" w:type="dxa"/>
          </w:tcPr>
          <w:p w14:paraId="498A8C6C" w14:textId="77777777" w:rsidR="00627CC6" w:rsidRPr="009A30BF" w:rsidRDefault="00627CC6" w:rsidP="00177C49">
            <w:pPr>
              <w:spacing w:line="480" w:lineRule="auto"/>
              <w:rPr>
                <w:rFonts w:ascii="Times New Roman" w:hAnsi="Times New Roman" w:cs="Times New Roman"/>
                <w:b/>
              </w:rPr>
            </w:pPr>
            <w:r w:rsidRPr="009A30BF">
              <w:rPr>
                <w:rFonts w:ascii="Times New Roman" w:hAnsi="Times New Roman" w:cs="Times New Roman"/>
                <w:b/>
              </w:rPr>
              <w:t>-.64(.21)*</w:t>
            </w:r>
          </w:p>
        </w:tc>
        <w:tc>
          <w:tcPr>
            <w:tcW w:w="1276" w:type="dxa"/>
          </w:tcPr>
          <w:p w14:paraId="6339D4AA" w14:textId="77777777" w:rsidR="00627CC6" w:rsidRPr="009A30BF" w:rsidRDefault="00627CC6" w:rsidP="00177C49">
            <w:pPr>
              <w:spacing w:line="480" w:lineRule="auto"/>
              <w:rPr>
                <w:rFonts w:ascii="Times New Roman" w:hAnsi="Times New Roman" w:cs="Times New Roman"/>
                <w:b/>
              </w:rPr>
            </w:pPr>
            <w:r w:rsidRPr="009A30BF">
              <w:rPr>
                <w:rFonts w:ascii="Times New Roman" w:hAnsi="Times New Roman" w:cs="Times New Roman"/>
                <w:b/>
              </w:rPr>
              <w:t>-.85(.20)*</w:t>
            </w:r>
          </w:p>
        </w:tc>
        <w:tc>
          <w:tcPr>
            <w:tcW w:w="1417" w:type="dxa"/>
          </w:tcPr>
          <w:p w14:paraId="3CA057E6" w14:textId="77777777" w:rsidR="00627CC6" w:rsidRPr="009A30BF" w:rsidRDefault="00627CC6" w:rsidP="00177C49">
            <w:pPr>
              <w:spacing w:line="480" w:lineRule="auto"/>
              <w:rPr>
                <w:rFonts w:ascii="Times New Roman" w:hAnsi="Times New Roman" w:cs="Times New Roman"/>
                <w:b/>
              </w:rPr>
            </w:pPr>
            <w:r w:rsidRPr="009A30BF">
              <w:rPr>
                <w:rFonts w:ascii="Times New Roman" w:hAnsi="Times New Roman" w:cs="Times New Roman"/>
                <w:b/>
              </w:rPr>
              <w:t>.65(.21)*</w:t>
            </w:r>
          </w:p>
        </w:tc>
        <w:tc>
          <w:tcPr>
            <w:tcW w:w="1843" w:type="dxa"/>
          </w:tcPr>
          <w:p w14:paraId="6E58D9BC" w14:textId="77777777" w:rsidR="00627CC6" w:rsidRPr="009A30BF" w:rsidRDefault="00627CC6" w:rsidP="00177C49">
            <w:pPr>
              <w:spacing w:line="480" w:lineRule="auto"/>
              <w:rPr>
                <w:rFonts w:ascii="Times New Roman" w:hAnsi="Times New Roman" w:cs="Times New Roman"/>
                <w:b/>
              </w:rPr>
            </w:pPr>
            <w:r w:rsidRPr="009A30BF">
              <w:rPr>
                <w:rFonts w:ascii="Times New Roman" w:hAnsi="Times New Roman" w:cs="Times New Roman"/>
                <w:b/>
              </w:rPr>
              <w:t>.39(.21)†</w:t>
            </w:r>
          </w:p>
        </w:tc>
        <w:tc>
          <w:tcPr>
            <w:tcW w:w="1701" w:type="dxa"/>
          </w:tcPr>
          <w:p w14:paraId="61A5F090" w14:textId="77777777" w:rsidR="00627CC6" w:rsidRPr="009A30BF" w:rsidRDefault="00627CC6" w:rsidP="00177C49">
            <w:pPr>
              <w:spacing w:line="480" w:lineRule="auto"/>
              <w:rPr>
                <w:rFonts w:ascii="Times New Roman" w:hAnsi="Times New Roman" w:cs="Times New Roman"/>
                <w:b/>
              </w:rPr>
            </w:pPr>
            <w:r w:rsidRPr="009A30BF">
              <w:rPr>
                <w:rFonts w:ascii="Times New Roman" w:hAnsi="Times New Roman" w:cs="Times New Roman"/>
                <w:b/>
              </w:rPr>
              <w:t>.42(.22)†</w:t>
            </w:r>
          </w:p>
        </w:tc>
        <w:tc>
          <w:tcPr>
            <w:tcW w:w="1276" w:type="dxa"/>
            <w:gridSpan w:val="2"/>
          </w:tcPr>
          <w:p w14:paraId="360ABA7A"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-.16(.22)</w:t>
            </w:r>
          </w:p>
        </w:tc>
      </w:tr>
      <w:tr w:rsidR="00627CC6" w:rsidRPr="00BA670E" w14:paraId="56C9F665" w14:textId="77777777" w:rsidTr="00177C49">
        <w:tc>
          <w:tcPr>
            <w:tcW w:w="1134" w:type="dxa"/>
          </w:tcPr>
          <w:p w14:paraId="30FEDF2B" w14:textId="77777777" w:rsidR="00627CC6" w:rsidRPr="00151890" w:rsidRDefault="00627CC6" w:rsidP="00177C49">
            <w:pPr>
              <w:spacing w:line="480" w:lineRule="auto"/>
              <w:rPr>
                <w:rFonts w:ascii="Times New Roman" w:hAnsi="Times New Roman" w:cs="Times New Roman"/>
                <w:b/>
              </w:rPr>
            </w:pPr>
            <w:r w:rsidRPr="00151890">
              <w:rPr>
                <w:rFonts w:ascii="Times New Roman" w:hAnsi="Times New Roman" w:cs="Times New Roman"/>
                <w:b/>
              </w:rPr>
              <w:t>Control</w:t>
            </w:r>
          </w:p>
        </w:tc>
        <w:tc>
          <w:tcPr>
            <w:tcW w:w="1276" w:type="dxa"/>
          </w:tcPr>
          <w:p w14:paraId="3CC43702"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.01(.20)</w:t>
            </w:r>
          </w:p>
        </w:tc>
        <w:tc>
          <w:tcPr>
            <w:tcW w:w="1276" w:type="dxa"/>
          </w:tcPr>
          <w:p w14:paraId="4E7F1F04"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-.16(.19)</w:t>
            </w:r>
          </w:p>
        </w:tc>
        <w:tc>
          <w:tcPr>
            <w:tcW w:w="1134" w:type="dxa"/>
          </w:tcPr>
          <w:p w14:paraId="7DD5CDBE"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.28(.20)</w:t>
            </w:r>
          </w:p>
        </w:tc>
        <w:tc>
          <w:tcPr>
            <w:tcW w:w="1701" w:type="dxa"/>
          </w:tcPr>
          <w:p w14:paraId="0E42E471" w14:textId="77777777" w:rsidR="00627CC6" w:rsidRPr="009A30BF" w:rsidRDefault="00627CC6" w:rsidP="00177C49">
            <w:pPr>
              <w:spacing w:line="480" w:lineRule="auto"/>
              <w:rPr>
                <w:rFonts w:ascii="Times New Roman" w:hAnsi="Times New Roman" w:cs="Times New Roman"/>
                <w:b/>
              </w:rPr>
            </w:pPr>
            <w:r>
              <w:rPr>
                <w:rFonts w:ascii="Times New Roman" w:hAnsi="Times New Roman" w:cs="Times New Roman"/>
                <w:b/>
              </w:rPr>
              <w:t>-</w:t>
            </w:r>
            <w:r w:rsidRPr="009A30BF">
              <w:rPr>
                <w:rFonts w:ascii="Times New Roman" w:hAnsi="Times New Roman" w:cs="Times New Roman"/>
                <w:b/>
              </w:rPr>
              <w:t>.60(.19)*</w:t>
            </w:r>
          </w:p>
        </w:tc>
        <w:tc>
          <w:tcPr>
            <w:tcW w:w="1276" w:type="dxa"/>
          </w:tcPr>
          <w:p w14:paraId="3742849D"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-.28(.19)</w:t>
            </w:r>
          </w:p>
        </w:tc>
        <w:tc>
          <w:tcPr>
            <w:tcW w:w="1417" w:type="dxa"/>
          </w:tcPr>
          <w:p w14:paraId="0DE65268" w14:textId="77777777" w:rsidR="00627CC6" w:rsidRPr="009A30BF" w:rsidRDefault="00627CC6" w:rsidP="00177C49">
            <w:pPr>
              <w:spacing w:line="480" w:lineRule="auto"/>
              <w:rPr>
                <w:rFonts w:ascii="Times New Roman" w:hAnsi="Times New Roman" w:cs="Times New Roman"/>
                <w:b/>
              </w:rPr>
            </w:pPr>
            <w:r w:rsidRPr="009A30BF">
              <w:rPr>
                <w:rFonts w:ascii="Times New Roman" w:hAnsi="Times New Roman" w:cs="Times New Roman"/>
                <w:b/>
              </w:rPr>
              <w:t>.42(.20)*</w:t>
            </w:r>
          </w:p>
        </w:tc>
        <w:tc>
          <w:tcPr>
            <w:tcW w:w="1843" w:type="dxa"/>
          </w:tcPr>
          <w:p w14:paraId="57F40B50" w14:textId="77777777" w:rsidR="00627CC6" w:rsidRPr="009A30BF" w:rsidRDefault="00627CC6" w:rsidP="00177C49">
            <w:pPr>
              <w:spacing w:line="480" w:lineRule="auto"/>
              <w:rPr>
                <w:rFonts w:ascii="Times New Roman" w:hAnsi="Times New Roman" w:cs="Times New Roman"/>
                <w:b/>
              </w:rPr>
            </w:pPr>
            <w:r w:rsidRPr="009A30BF">
              <w:rPr>
                <w:rFonts w:ascii="Times New Roman" w:hAnsi="Times New Roman" w:cs="Times New Roman"/>
                <w:b/>
              </w:rPr>
              <w:t>.36(.20)†</w:t>
            </w:r>
          </w:p>
        </w:tc>
        <w:tc>
          <w:tcPr>
            <w:tcW w:w="1701" w:type="dxa"/>
          </w:tcPr>
          <w:p w14:paraId="4862EA5B"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.15(.21)</w:t>
            </w:r>
          </w:p>
        </w:tc>
        <w:tc>
          <w:tcPr>
            <w:tcW w:w="1276" w:type="dxa"/>
            <w:gridSpan w:val="2"/>
          </w:tcPr>
          <w:p w14:paraId="15C58D49" w14:textId="77777777" w:rsidR="00627CC6" w:rsidRPr="00BA670E" w:rsidRDefault="00627CC6" w:rsidP="00177C49">
            <w:pPr>
              <w:spacing w:line="480" w:lineRule="auto"/>
              <w:rPr>
                <w:rFonts w:ascii="Times New Roman" w:hAnsi="Times New Roman" w:cs="Times New Roman"/>
              </w:rPr>
            </w:pPr>
            <w:r>
              <w:rPr>
                <w:rFonts w:ascii="Times New Roman" w:hAnsi="Times New Roman" w:cs="Times New Roman"/>
              </w:rPr>
              <w:t>-.12(.21)</w:t>
            </w:r>
          </w:p>
        </w:tc>
      </w:tr>
    </w:tbl>
    <w:p w14:paraId="1CFE6878" w14:textId="77777777" w:rsidR="00627CC6" w:rsidRPr="00BA670E" w:rsidRDefault="00627CC6" w:rsidP="00627CC6">
      <w:pPr>
        <w:spacing w:line="480" w:lineRule="auto"/>
        <w:rPr>
          <w:rFonts w:cs="Times New Roman"/>
        </w:rPr>
      </w:pPr>
      <w:r>
        <w:rPr>
          <w:rFonts w:cs="Times New Roman"/>
        </w:rPr>
        <w:t>Notes: zAge- standardized ages; zBMI- standardized body mass index scores; E- offering an experiential explanation for high metabolism; Control- offering a non-specific explanation for high metabolism based on individual differences; * p &lt; .05, † p &lt; .10</w:t>
      </w:r>
    </w:p>
    <w:p w14:paraId="66FA8D05" w14:textId="77777777" w:rsidR="00627CC6" w:rsidRPr="00A25464" w:rsidRDefault="00627CC6" w:rsidP="00627CC6">
      <w:pPr>
        <w:spacing w:line="480" w:lineRule="auto"/>
      </w:pPr>
    </w:p>
    <w:p w14:paraId="3500F952" w14:textId="77777777" w:rsidR="00627CC6" w:rsidRDefault="00627CC6" w:rsidP="00627CC6">
      <w:pPr>
        <w:widowControl/>
        <w:suppressAutoHyphens w:val="0"/>
      </w:pPr>
      <w:r>
        <w:br w:type="page"/>
      </w:r>
    </w:p>
    <w:p w14:paraId="016985FA" w14:textId="77777777" w:rsidR="00627CC6" w:rsidRDefault="00627CC6" w:rsidP="00627CC6">
      <w:pPr>
        <w:spacing w:line="480" w:lineRule="auto"/>
        <w:sectPr w:rsidR="00627CC6" w:rsidSect="00C913C8">
          <w:pgSz w:w="15840" w:h="12240" w:orient="landscape"/>
          <w:pgMar w:top="1134" w:right="1134" w:bottom="1134" w:left="1134" w:header="720" w:footer="720" w:gutter="0"/>
          <w:cols w:space="720"/>
          <w:docGrid w:linePitch="360"/>
        </w:sectPr>
      </w:pPr>
    </w:p>
    <w:p w14:paraId="48456A5D" w14:textId="77777777" w:rsidR="00627CC6" w:rsidRPr="00803580" w:rsidRDefault="00627CC6" w:rsidP="002C2975">
      <w:pPr>
        <w:spacing w:line="480" w:lineRule="auto"/>
        <w:ind w:firstLine="709"/>
        <w:rPr>
          <w:rFonts w:cs="Times New Roman"/>
        </w:rPr>
      </w:pPr>
    </w:p>
    <w:p w14:paraId="2A0E4183" w14:textId="77777777" w:rsidR="00D21806" w:rsidRPr="00803580" w:rsidRDefault="00D21806" w:rsidP="00D21806">
      <w:pPr>
        <w:spacing w:line="480" w:lineRule="auto"/>
        <w:ind w:firstLine="720"/>
        <w:jc w:val="center"/>
        <w:rPr>
          <w:b/>
        </w:rPr>
      </w:pPr>
      <w:r w:rsidRPr="00803580">
        <w:rPr>
          <w:b/>
        </w:rPr>
        <w:t>Study 3</w:t>
      </w:r>
    </w:p>
    <w:p w14:paraId="7FF407B7" w14:textId="77777777" w:rsidR="00AA0CD7" w:rsidRPr="00803580" w:rsidRDefault="00AA0CD7">
      <w:pPr>
        <w:spacing w:line="480" w:lineRule="auto"/>
        <w:rPr>
          <w:b/>
        </w:rPr>
      </w:pPr>
      <w:r w:rsidRPr="00803580">
        <w:rPr>
          <w:b/>
        </w:rPr>
        <w:t>Method</w:t>
      </w:r>
    </w:p>
    <w:p w14:paraId="4FD90279" w14:textId="48A31702" w:rsidR="00AA0CD7" w:rsidRDefault="00AA0CD7">
      <w:pPr>
        <w:spacing w:line="480" w:lineRule="auto"/>
      </w:pPr>
      <w:r w:rsidRPr="00803580">
        <w:tab/>
        <w:t xml:space="preserve">One hundred and </w:t>
      </w:r>
      <w:r w:rsidR="006D1A02" w:rsidRPr="00803580">
        <w:t>sixty</w:t>
      </w:r>
      <w:r w:rsidRPr="00803580">
        <w:t xml:space="preserve">-two </w:t>
      </w:r>
      <w:r w:rsidR="000109FB" w:rsidRPr="00803580">
        <w:t xml:space="preserve">undergraduate </w:t>
      </w:r>
      <w:r w:rsidRPr="00803580">
        <w:t>students (</w:t>
      </w:r>
      <w:r w:rsidR="000109FB" w:rsidRPr="00803580">
        <w:t>1</w:t>
      </w:r>
      <w:r w:rsidR="006D1A02" w:rsidRPr="00803580">
        <w:t>24</w:t>
      </w:r>
      <w:r w:rsidRPr="00803580">
        <w:t xml:space="preserve"> women</w:t>
      </w:r>
      <w:r w:rsidR="006D1A02" w:rsidRPr="00803580">
        <w:t xml:space="preserve">, 34 men, 4 </w:t>
      </w:r>
      <w:r w:rsidR="000F7AF2">
        <w:t>undeclared</w:t>
      </w:r>
      <w:r w:rsidR="00803580">
        <w:t>)</w:t>
      </w:r>
      <w:r w:rsidR="00841178">
        <w:t xml:space="preserve"> from a large Canadian university,</w:t>
      </w:r>
      <w:r w:rsidR="00803580">
        <w:t xml:space="preserve"> ages 17-44</w:t>
      </w:r>
      <w:r w:rsidR="00803580" w:rsidRPr="00D21578">
        <w:t xml:space="preserve"> </w:t>
      </w:r>
      <w:r w:rsidR="00803580">
        <w:t>(</w:t>
      </w:r>
      <w:r w:rsidR="006D1A02" w:rsidRPr="000402C9">
        <w:rPr>
          <w:i/>
        </w:rPr>
        <w:t>M</w:t>
      </w:r>
      <w:r w:rsidR="006D1A02" w:rsidRPr="000402C9">
        <w:rPr>
          <w:i/>
          <w:vertAlign w:val="subscript"/>
        </w:rPr>
        <w:t>age</w:t>
      </w:r>
      <w:r w:rsidR="006D1A02" w:rsidRPr="00D21578">
        <w:t xml:space="preserve"> = 20.75, </w:t>
      </w:r>
      <w:r w:rsidR="006D1A02" w:rsidRPr="000402C9">
        <w:rPr>
          <w:i/>
        </w:rPr>
        <w:t>SD</w:t>
      </w:r>
      <w:r w:rsidR="006D1A02" w:rsidRPr="00D21578">
        <w:t xml:space="preserve"> = 3.40</w:t>
      </w:r>
      <w:r w:rsidRPr="00D21578">
        <w:t>)</w:t>
      </w:r>
      <w:r w:rsidR="00841178">
        <w:t>,</w:t>
      </w:r>
      <w:r w:rsidRPr="00D21578">
        <w:t xml:space="preserve"> participated in a study entitled “Psychology and Food” in exchange for course credit.  Participants were randomly assigned to one of t</w:t>
      </w:r>
      <w:r w:rsidRPr="00803580">
        <w:t xml:space="preserve">hree experimental conditions; in each condition they read an apparent newspaper article on food, </w:t>
      </w:r>
      <w:r w:rsidR="00A25464" w:rsidRPr="00803580">
        <w:t xml:space="preserve">which </w:t>
      </w:r>
      <w:r w:rsidRPr="00803580">
        <w:t xml:space="preserve">was actually written by the researchers.  In one condition, the article presented a genetic explanation for obesity.  In </w:t>
      </w:r>
      <w:r w:rsidR="005B7982" w:rsidRPr="00803580">
        <w:t>the</w:t>
      </w:r>
      <w:r w:rsidRPr="00803580">
        <w:t xml:space="preserve"> second condition, the article presented a psychosocial explanation for obe</w:t>
      </w:r>
      <w:r>
        <w:t>sity (suggesting that obesity is affected by social networks, as argued by Christakis &amp; Fowler, 2007).  In the third (</w:t>
      </w:r>
      <w:r w:rsidR="000402C9">
        <w:t>c</w:t>
      </w:r>
      <w:r>
        <w:t xml:space="preserve">ontrol) condition, participants read an article about food, which made no mention of obesity or weight issues.  Following the </w:t>
      </w:r>
      <w:r w:rsidR="000402C9">
        <w:t>articles</w:t>
      </w:r>
      <w:r>
        <w:t xml:space="preserve">, participants rated the convincingness of the </w:t>
      </w:r>
      <w:r w:rsidR="000402C9">
        <w:t xml:space="preserve">featured </w:t>
      </w:r>
      <w:r>
        <w:t>arguments.</w:t>
      </w:r>
      <w:r w:rsidR="007A6584">
        <w:t xml:space="preserve">  The articles which served as manipulations are </w:t>
      </w:r>
      <w:r w:rsidR="00684833">
        <w:t xml:space="preserve">appear in </w:t>
      </w:r>
      <w:r w:rsidR="00DF15BD">
        <w:t>A</w:t>
      </w:r>
      <w:r w:rsidR="00684833">
        <w:t>ppendix 2</w:t>
      </w:r>
      <w:r w:rsidR="007A6584">
        <w:t xml:space="preserve">. </w:t>
      </w:r>
    </w:p>
    <w:p w14:paraId="5340B3B2" w14:textId="77777777" w:rsidR="00C913C8" w:rsidRDefault="00AA0CD7">
      <w:pPr>
        <w:spacing w:line="480" w:lineRule="auto"/>
      </w:pPr>
      <w:r>
        <w:tab/>
        <w:t xml:space="preserve">To strengthen the purported goals of the study, participants completed a few additional questionnaires regarding their food preferences and eating habits.  We then asked them to take part in a food-tasting task, to evaluate the flavor of baked goods to be used in a future experiment.  All participants indicated their willingness and were escorted </w:t>
      </w:r>
      <w:r w:rsidR="002C2975">
        <w:t xml:space="preserve">to a different room, in which an </w:t>
      </w:r>
      <w:r>
        <w:t xml:space="preserve">oven was strongly emitting the scent of cookies.  Participants sat in front of a </w:t>
      </w:r>
      <w:r w:rsidR="00117217">
        <w:t xml:space="preserve">large </w:t>
      </w:r>
      <w:r>
        <w:t xml:space="preserve">bowl of broken chocolate chip cookies and the experimenter left the room, instructing participants to taste and evaluate the cookies.  The bowl was </w:t>
      </w:r>
      <w:r w:rsidR="00803580">
        <w:t xml:space="preserve">secretly </w:t>
      </w:r>
      <w:r>
        <w:t xml:space="preserve">weighed before and after the participants had an opportunity to sample the cookies and this difference in weight was used as the indicator of consumption. </w:t>
      </w:r>
    </w:p>
    <w:p w14:paraId="743AA866" w14:textId="77777777" w:rsidR="00C913C8" w:rsidRDefault="00C913C8" w:rsidP="00C913C8">
      <w:pPr>
        <w:spacing w:line="480" w:lineRule="auto"/>
        <w:rPr>
          <w:rFonts w:cs="Times New Roman"/>
        </w:rPr>
        <w:sectPr w:rsidR="00C913C8" w:rsidSect="00CE6755">
          <w:headerReference w:type="default" r:id="rId11"/>
          <w:footerReference w:type="default" r:id="rId12"/>
          <w:pgSz w:w="12240" w:h="15840"/>
          <w:pgMar w:top="1134" w:right="1134" w:bottom="1134" w:left="1134" w:header="720" w:footer="720" w:gutter="0"/>
          <w:lnNumType w:countBy="1"/>
          <w:cols w:space="720"/>
          <w:docGrid w:linePitch="360"/>
        </w:sectPr>
      </w:pPr>
    </w:p>
    <w:p w14:paraId="095B511C" w14:textId="77777777" w:rsidR="00AA0CD7" w:rsidRDefault="00AA0CD7">
      <w:pPr>
        <w:spacing w:line="480" w:lineRule="auto"/>
      </w:pPr>
    </w:p>
    <w:p w14:paraId="0F4362FC" w14:textId="77777777" w:rsidR="00AA0CD7" w:rsidRDefault="00AA0CD7" w:rsidP="009E1303">
      <w:pPr>
        <w:spacing w:line="480" w:lineRule="auto"/>
        <w:rPr>
          <w:b/>
          <w:bCs/>
        </w:rPr>
      </w:pPr>
      <w:r>
        <w:rPr>
          <w:b/>
          <w:bCs/>
        </w:rPr>
        <w:t>Results and Discussion</w:t>
      </w:r>
    </w:p>
    <w:p w14:paraId="27391FC9" w14:textId="77F97692" w:rsidR="00036F77" w:rsidRDefault="00AA0CD7" w:rsidP="00036F77">
      <w:pPr>
        <w:spacing w:line="480" w:lineRule="auto"/>
      </w:pPr>
      <w:r>
        <w:tab/>
      </w:r>
      <w:r w:rsidR="00386DFC">
        <w:t xml:space="preserve">A suspicion probe among participants indicated that 25 individuals did not believe that the second part of the study (i.e., the food tasting part) was independent of the first (i.e., the manipulations).  We </w:t>
      </w:r>
      <w:r w:rsidR="008B74B2">
        <w:t xml:space="preserve">thus </w:t>
      </w:r>
      <w:r w:rsidR="00386DFC">
        <w:t xml:space="preserve">conducted an analysis of variance to assess </w:t>
      </w:r>
      <w:r w:rsidR="008B74B2">
        <w:t>whether</w:t>
      </w:r>
      <w:r w:rsidR="00386DFC">
        <w:t xml:space="preserve"> these participants responded differently </w:t>
      </w:r>
      <w:r w:rsidR="008B74B2">
        <w:t xml:space="preserve">on the food tasting task and found that they did </w:t>
      </w:r>
      <w:r w:rsidR="00E349B8">
        <w:t xml:space="preserve">indeed </w:t>
      </w:r>
      <w:r w:rsidR="008B74B2">
        <w:t>differ on that critical variable, consuming significantly larger amount of cookies (</w:t>
      </w:r>
      <w:r w:rsidR="008B74B2">
        <w:rPr>
          <w:i/>
          <w:iCs/>
        </w:rPr>
        <w:t>M</w:t>
      </w:r>
      <w:r w:rsidR="008B74B2">
        <w:t xml:space="preserve"> = 61.28, </w:t>
      </w:r>
      <w:r w:rsidR="008B74B2">
        <w:rPr>
          <w:i/>
          <w:iCs/>
        </w:rPr>
        <w:t>SD</w:t>
      </w:r>
      <w:r w:rsidR="008B74B2">
        <w:t xml:space="preserve"> = 67.00) th</w:t>
      </w:r>
      <w:r w:rsidR="00E349B8">
        <w:t>a</w:t>
      </w:r>
      <w:r w:rsidR="008B74B2">
        <w:t>n the unsuspicious participants (</w:t>
      </w:r>
      <w:r w:rsidR="008B74B2">
        <w:rPr>
          <w:i/>
          <w:iCs/>
        </w:rPr>
        <w:t>M</w:t>
      </w:r>
      <w:r w:rsidR="008B74B2">
        <w:t xml:space="preserve"> = 40.29, </w:t>
      </w:r>
      <w:r w:rsidR="008B74B2">
        <w:rPr>
          <w:i/>
          <w:iCs/>
        </w:rPr>
        <w:t>SD</w:t>
      </w:r>
      <w:r w:rsidR="008B74B2">
        <w:t xml:space="preserve"> = 32.77; </w:t>
      </w:r>
      <w:r w:rsidR="008B74B2" w:rsidRPr="006538B9">
        <w:rPr>
          <w:i/>
        </w:rPr>
        <w:t>F</w:t>
      </w:r>
      <w:r w:rsidR="008B74B2" w:rsidRPr="006538B9">
        <w:rPr>
          <w:vertAlign w:val="subscript"/>
        </w:rPr>
        <w:t>1,157</w:t>
      </w:r>
      <w:r w:rsidR="008B74B2" w:rsidRPr="006538B9">
        <w:t xml:space="preserve"> = 5.82, </w:t>
      </w:r>
      <w:r w:rsidR="008B74B2">
        <w:t>p = .0</w:t>
      </w:r>
      <w:r w:rsidR="001E748F">
        <w:t>2</w:t>
      </w:r>
      <w:r w:rsidR="008B74B2">
        <w:t xml:space="preserve">, </w:t>
      </w:r>
      <w:r w:rsidR="008B74B2">
        <w:rPr>
          <w:i/>
        </w:rPr>
        <w:t xml:space="preserve">d </w:t>
      </w:r>
      <w:r w:rsidR="008B74B2">
        <w:t>= .40).  As suspicion regarding the study hypothesis and our deception introduce</w:t>
      </w:r>
      <w:r w:rsidR="00E349B8">
        <w:t>s</w:t>
      </w:r>
      <w:r w:rsidR="008B74B2">
        <w:t xml:space="preserve"> a host of demand characteristic</w:t>
      </w:r>
      <w:r w:rsidR="00805039">
        <w:t>s</w:t>
      </w:r>
      <w:r w:rsidR="008B74B2">
        <w:t xml:space="preserve"> we removed these individuals from our analyses leaving a final sample of one-hundred and thirty-seven participants.  </w:t>
      </w:r>
    </w:p>
    <w:p w14:paraId="55852B60" w14:textId="0A157E7D" w:rsidR="00B83C5A" w:rsidRPr="006538B9" w:rsidRDefault="00AA0CD7" w:rsidP="006538B9">
      <w:pPr>
        <w:spacing w:line="480" w:lineRule="auto"/>
        <w:ind w:firstLine="709"/>
      </w:pPr>
      <w:r>
        <w:t xml:space="preserve">The consumption of cookies was analyzed with a single factor analysis of variance.  There was a significant effect of the article that participants read, </w:t>
      </w:r>
      <w:r>
        <w:rPr>
          <w:i/>
        </w:rPr>
        <w:t>F</w:t>
      </w:r>
      <w:r>
        <w:rPr>
          <w:vertAlign w:val="subscript"/>
        </w:rPr>
        <w:t>2,</w:t>
      </w:r>
      <w:r w:rsidR="00036F77">
        <w:rPr>
          <w:vertAlign w:val="subscript"/>
        </w:rPr>
        <w:t>131</w:t>
      </w:r>
      <w:r w:rsidR="00036F77">
        <w:t xml:space="preserve"> </w:t>
      </w:r>
      <w:r>
        <w:t xml:space="preserve">= </w:t>
      </w:r>
      <w:r w:rsidR="00036F77">
        <w:t>4</w:t>
      </w:r>
      <w:r>
        <w:t>.</w:t>
      </w:r>
      <w:r w:rsidR="00036F77">
        <w:t>25</w:t>
      </w:r>
      <w:r>
        <w:t xml:space="preserve">, </w:t>
      </w:r>
      <w:r>
        <w:rPr>
          <w:i/>
        </w:rPr>
        <w:t>p</w:t>
      </w:r>
      <w:r>
        <w:t xml:space="preserve"> </w:t>
      </w:r>
      <w:r w:rsidR="00036F77">
        <w:t xml:space="preserve">= </w:t>
      </w:r>
      <w:r>
        <w:t>.</w:t>
      </w:r>
      <w:r w:rsidR="00036F77">
        <w:t>0</w:t>
      </w:r>
      <w:r w:rsidR="001E748F">
        <w:t>2</w:t>
      </w:r>
      <w:r>
        <w:t>, η</w:t>
      </w:r>
      <w:r>
        <w:rPr>
          <w:vertAlign w:val="subscript"/>
        </w:rPr>
        <w:t>p</w:t>
      </w:r>
      <w:r>
        <w:rPr>
          <w:vertAlign w:val="superscript"/>
        </w:rPr>
        <w:t>2</w:t>
      </w:r>
      <w:r>
        <w:t xml:space="preserve"> = .</w:t>
      </w:r>
      <w:r w:rsidR="00036F77">
        <w:t>061</w:t>
      </w:r>
      <w:r w:rsidR="006D1A02">
        <w:t xml:space="preserve">.  As Figure 1 shows, Fisher </w:t>
      </w:r>
      <w:r>
        <w:t>LSD post-hoc comparisons</w:t>
      </w:r>
      <w:r w:rsidR="00E36EFA">
        <w:t>, which have been recommended when comparing only three condition</w:t>
      </w:r>
      <w:r w:rsidR="007C581B">
        <w:t>s</w:t>
      </w:r>
      <w:r w:rsidR="00E36EFA">
        <w:t xml:space="preserve"> (Seaman, Levin, &amp; Serlin, 1991), </w:t>
      </w:r>
      <w:r>
        <w:t>indicated that participants in the genetic condition consumed significantly more cookies (</w:t>
      </w:r>
      <w:r>
        <w:rPr>
          <w:i/>
          <w:iCs/>
        </w:rPr>
        <w:t>M</w:t>
      </w:r>
      <w:r>
        <w:t xml:space="preserve"> = </w:t>
      </w:r>
      <w:r w:rsidR="00036F77">
        <w:t>51</w:t>
      </w:r>
      <w:r>
        <w:t>.</w:t>
      </w:r>
      <w:r w:rsidR="00036F77">
        <w:t>98</w:t>
      </w:r>
      <w:r>
        <w:t xml:space="preserve">, </w:t>
      </w:r>
      <w:r>
        <w:rPr>
          <w:i/>
          <w:iCs/>
        </w:rPr>
        <w:t>SD</w:t>
      </w:r>
      <w:r>
        <w:t xml:space="preserve"> = </w:t>
      </w:r>
      <w:r w:rsidR="00036F77">
        <w:t>41</w:t>
      </w:r>
      <w:r>
        <w:t>.</w:t>
      </w:r>
      <w:r w:rsidR="00036F77">
        <w:t>84</w:t>
      </w:r>
      <w:r>
        <w:t xml:space="preserve">) </w:t>
      </w:r>
      <w:r w:rsidR="001E748F">
        <w:t xml:space="preserve">than </w:t>
      </w:r>
      <w:r>
        <w:t xml:space="preserve">participants in </w:t>
      </w:r>
      <w:r w:rsidR="00803580">
        <w:t xml:space="preserve">either </w:t>
      </w:r>
      <w:r>
        <w:t>the psychosocial condition (</w:t>
      </w:r>
      <w:r>
        <w:rPr>
          <w:i/>
          <w:iCs/>
        </w:rPr>
        <w:t>M</w:t>
      </w:r>
      <w:r>
        <w:t xml:space="preserve"> = </w:t>
      </w:r>
      <w:r w:rsidR="00036F77">
        <w:t>33</w:t>
      </w:r>
      <w:r>
        <w:t>.</w:t>
      </w:r>
      <w:r w:rsidR="00036F77">
        <w:t>14</w:t>
      </w:r>
      <w:r>
        <w:t xml:space="preserve">, </w:t>
      </w:r>
      <w:r>
        <w:rPr>
          <w:i/>
          <w:iCs/>
        </w:rPr>
        <w:t>SD</w:t>
      </w:r>
      <w:r>
        <w:t xml:space="preserve"> = </w:t>
      </w:r>
      <w:r w:rsidR="00036F77">
        <w:t>22</w:t>
      </w:r>
      <w:r>
        <w:t>.</w:t>
      </w:r>
      <w:r w:rsidR="00036F77">
        <w:t>91</w:t>
      </w:r>
      <w:r w:rsidR="00803580">
        <w:t xml:space="preserve">, p </w:t>
      </w:r>
      <w:r w:rsidR="00036F77">
        <w:t xml:space="preserve">= </w:t>
      </w:r>
      <w:r w:rsidR="00803580">
        <w:t>.</w:t>
      </w:r>
      <w:r w:rsidR="00036F77">
        <w:t>006</w:t>
      </w:r>
      <w:r>
        <w:t xml:space="preserve">, </w:t>
      </w:r>
      <w:r>
        <w:rPr>
          <w:i/>
        </w:rPr>
        <w:t xml:space="preserve">d </w:t>
      </w:r>
      <w:r>
        <w:t>= .</w:t>
      </w:r>
      <w:r w:rsidR="00036F77">
        <w:t>56</w:t>
      </w:r>
      <w:r>
        <w:t xml:space="preserve">) </w:t>
      </w:r>
      <w:r w:rsidR="002233BF">
        <w:t xml:space="preserve">or </w:t>
      </w:r>
      <w:r>
        <w:t>the control condition (</w:t>
      </w:r>
      <w:r>
        <w:rPr>
          <w:i/>
          <w:iCs/>
        </w:rPr>
        <w:t>M</w:t>
      </w:r>
      <w:r>
        <w:t xml:space="preserve"> = </w:t>
      </w:r>
      <w:r w:rsidR="00036F77">
        <w:t>37</w:t>
      </w:r>
      <w:r>
        <w:t>.</w:t>
      </w:r>
      <w:r w:rsidR="00036F77">
        <w:t>02</w:t>
      </w:r>
      <w:r>
        <w:t xml:space="preserve">, </w:t>
      </w:r>
      <w:r>
        <w:rPr>
          <w:i/>
          <w:iCs/>
        </w:rPr>
        <w:t>SD</w:t>
      </w:r>
      <w:r>
        <w:t xml:space="preserve"> = 29.</w:t>
      </w:r>
      <w:r w:rsidR="00036F77">
        <w:t>76</w:t>
      </w:r>
      <w:r w:rsidR="00803580">
        <w:t xml:space="preserve">, p </w:t>
      </w:r>
      <w:r w:rsidR="00AB22FC">
        <w:t>=</w:t>
      </w:r>
      <w:r w:rsidR="00803580">
        <w:t xml:space="preserve"> .</w:t>
      </w:r>
      <w:r w:rsidR="00036F77">
        <w:t>03</w:t>
      </w:r>
      <w:r>
        <w:t>,</w:t>
      </w:r>
      <w:r>
        <w:rPr>
          <w:i/>
        </w:rPr>
        <w:t xml:space="preserve"> d </w:t>
      </w:r>
      <w:r>
        <w:t>= .</w:t>
      </w:r>
      <w:r w:rsidR="001E748F">
        <w:t>41</w:t>
      </w:r>
      <w:r>
        <w:t>).  The latter two conditions did not significantly differ from each other</w:t>
      </w:r>
      <w:r w:rsidR="0062110A">
        <w:t xml:space="preserve"> (p </w:t>
      </w:r>
      <w:r w:rsidR="001E748F">
        <w:t xml:space="preserve">= </w:t>
      </w:r>
      <w:r w:rsidR="0062110A">
        <w:t>.</w:t>
      </w:r>
      <w:r w:rsidR="001E748F">
        <w:t>56</w:t>
      </w:r>
      <w:r w:rsidR="0062110A">
        <w:t xml:space="preserve">, </w:t>
      </w:r>
      <w:r w:rsidR="0062110A">
        <w:rPr>
          <w:i/>
        </w:rPr>
        <w:t xml:space="preserve">d </w:t>
      </w:r>
      <w:r w:rsidR="0062110A">
        <w:t>= .</w:t>
      </w:r>
      <w:r w:rsidR="001E748F">
        <w:t>15</w:t>
      </w:r>
      <w:r w:rsidR="0062110A">
        <w:t>)</w:t>
      </w:r>
      <w:r>
        <w:t xml:space="preserve">.  </w:t>
      </w:r>
      <w:r w:rsidR="00617C7F">
        <w:t>This pattern holds</w:t>
      </w:r>
      <w:r w:rsidR="006D1A02">
        <w:t xml:space="preserve"> </w:t>
      </w:r>
      <w:r w:rsidR="003D051F">
        <w:t xml:space="preserve">if we control for gender, age and </w:t>
      </w:r>
      <w:r w:rsidR="001E748F">
        <w:t xml:space="preserve">self-reported </w:t>
      </w:r>
      <w:r w:rsidR="003D051F" w:rsidRPr="006538B9">
        <w:t>BMI</w:t>
      </w:r>
      <w:r w:rsidR="0096756A" w:rsidRPr="006538B9">
        <w:t xml:space="preserve"> (</w:t>
      </w:r>
      <w:r w:rsidR="0096756A" w:rsidRPr="006538B9">
        <w:rPr>
          <w:i/>
        </w:rPr>
        <w:t>F</w:t>
      </w:r>
      <w:r w:rsidR="0096756A" w:rsidRPr="006538B9">
        <w:rPr>
          <w:vertAlign w:val="subscript"/>
        </w:rPr>
        <w:t>2,12</w:t>
      </w:r>
      <w:r w:rsidR="003D051F" w:rsidRPr="006538B9">
        <w:rPr>
          <w:vertAlign w:val="subscript"/>
        </w:rPr>
        <w:t>6</w:t>
      </w:r>
      <w:r w:rsidR="0096756A" w:rsidRPr="006538B9">
        <w:t xml:space="preserve"> = </w:t>
      </w:r>
      <w:r w:rsidR="003D051F" w:rsidRPr="006538B9">
        <w:t>2</w:t>
      </w:r>
      <w:r w:rsidR="0096756A" w:rsidRPr="006538B9">
        <w:t>.</w:t>
      </w:r>
      <w:r w:rsidR="003D051F" w:rsidRPr="006538B9">
        <w:t>98</w:t>
      </w:r>
      <w:r w:rsidR="0096756A" w:rsidRPr="006538B9">
        <w:t xml:space="preserve">, </w:t>
      </w:r>
      <w:r w:rsidR="0096756A" w:rsidRPr="006538B9">
        <w:rPr>
          <w:i/>
        </w:rPr>
        <w:t>p</w:t>
      </w:r>
      <w:r w:rsidR="0096756A" w:rsidRPr="006538B9">
        <w:t xml:space="preserve"> </w:t>
      </w:r>
      <w:r w:rsidR="003D051F" w:rsidRPr="006538B9">
        <w:t>=</w:t>
      </w:r>
      <w:r w:rsidR="0096756A" w:rsidRPr="006538B9">
        <w:t xml:space="preserve"> .05</w:t>
      </w:r>
      <w:r w:rsidR="0096756A" w:rsidRPr="006538B9">
        <w:rPr>
          <w:b/>
        </w:rPr>
        <w:t xml:space="preserve">, </w:t>
      </w:r>
      <w:r w:rsidR="0096756A" w:rsidRPr="006538B9">
        <w:t>η</w:t>
      </w:r>
      <w:r w:rsidR="0096756A" w:rsidRPr="006538B9">
        <w:rPr>
          <w:vertAlign w:val="subscript"/>
        </w:rPr>
        <w:t>p</w:t>
      </w:r>
      <w:r w:rsidR="0096756A" w:rsidRPr="006538B9">
        <w:rPr>
          <w:vertAlign w:val="superscript"/>
        </w:rPr>
        <w:t>2</w:t>
      </w:r>
      <w:r w:rsidR="0096756A" w:rsidRPr="006538B9">
        <w:t xml:space="preserve"> = .0</w:t>
      </w:r>
      <w:r w:rsidR="003D051F" w:rsidRPr="006538B9">
        <w:t>45</w:t>
      </w:r>
      <w:r w:rsidR="0096756A" w:rsidRPr="006538B9">
        <w:t>)</w:t>
      </w:r>
      <w:r w:rsidR="000402C9" w:rsidRPr="006538B9">
        <w:t>.</w:t>
      </w:r>
      <w:r w:rsidR="00617C7F" w:rsidRPr="006538B9">
        <w:t xml:space="preserve">  Fisher LSD comparisons for the latter analysis, adjusting for</w:t>
      </w:r>
      <w:r w:rsidR="00805039" w:rsidRPr="006538B9">
        <w:t xml:space="preserve"> </w:t>
      </w:r>
      <w:r w:rsidR="00617C7F" w:rsidRPr="006538B9">
        <w:t>gender, age</w:t>
      </w:r>
      <w:r w:rsidR="0042733F" w:rsidRPr="006538B9">
        <w:t>,</w:t>
      </w:r>
      <w:r w:rsidR="00617C7F" w:rsidRPr="006538B9">
        <w:t xml:space="preserve"> and </w:t>
      </w:r>
      <w:r w:rsidR="00E349B8" w:rsidRPr="006538B9">
        <w:t xml:space="preserve">self-reported </w:t>
      </w:r>
      <w:r w:rsidR="00617C7F" w:rsidRPr="006538B9">
        <w:t xml:space="preserve">BMI, indicate that the genetic and social conditions are still significantly different (p </w:t>
      </w:r>
      <w:r w:rsidR="001E748F" w:rsidRPr="006538B9">
        <w:t xml:space="preserve">= </w:t>
      </w:r>
      <w:r w:rsidR="00617C7F" w:rsidRPr="006538B9">
        <w:t>.</w:t>
      </w:r>
      <w:r w:rsidR="001E748F" w:rsidRPr="006538B9">
        <w:t>02</w:t>
      </w:r>
      <w:r w:rsidR="00617C7F" w:rsidRPr="006538B9">
        <w:t>), but the genetic and control conditions are now only marginally significant (p</w:t>
      </w:r>
      <w:r w:rsidR="005A1186" w:rsidRPr="006538B9">
        <w:t>.</w:t>
      </w:r>
      <w:r w:rsidR="00617C7F" w:rsidRPr="006538B9">
        <w:t xml:space="preserve"> </w:t>
      </w:r>
      <w:r w:rsidR="001E748F" w:rsidRPr="006538B9">
        <w:t xml:space="preserve">= </w:t>
      </w:r>
      <w:r w:rsidR="00617C7F" w:rsidRPr="006538B9">
        <w:t xml:space="preserve">.07).  The </w:t>
      </w:r>
      <w:r w:rsidR="00805039" w:rsidRPr="006538B9">
        <w:t>psychosocial and control</w:t>
      </w:r>
      <w:r w:rsidR="00617C7F" w:rsidRPr="006538B9">
        <w:t xml:space="preserve"> conditions do not significantly differ in this latter analysis as well. </w:t>
      </w:r>
      <w:r w:rsidR="00823769">
        <w:t xml:space="preserve"> When the more conservative Tukey post-hoc comparisons were conducted the significant difference between the </w:t>
      </w:r>
      <w:r w:rsidR="00823769">
        <w:lastRenderedPageBreak/>
        <w:t>genetic and social conditions is maintained (p = .02) and the difference between the genetic and control condition is marginally significant (p = .08</w:t>
      </w:r>
      <w:r w:rsidR="00DF15BD">
        <w:t xml:space="preserve">; </w:t>
      </w:r>
      <w:r w:rsidR="00823769">
        <w:t xml:space="preserve">the social and control conditions are still not significantly different, p = .83).  </w:t>
      </w:r>
    </w:p>
    <w:p w14:paraId="70DDD50B" w14:textId="3CE23969" w:rsidR="00AA0CD7" w:rsidRDefault="00AA0CD7" w:rsidP="009E1303">
      <w:pPr>
        <w:spacing w:line="480" w:lineRule="auto"/>
      </w:pPr>
      <w:r>
        <w:tab/>
        <w:t>To assess whether the experimental manipulations differed in their persuasiveness, an independent samples t-test was conducted on participants’ evaluations of the convincingness of the arguments presented in the two experimental conditions.  Arguments in the genetic condition (</w:t>
      </w:r>
      <w:r>
        <w:rPr>
          <w:i/>
          <w:iCs/>
        </w:rPr>
        <w:t>M</w:t>
      </w:r>
      <w:r>
        <w:t xml:space="preserve"> = 4.</w:t>
      </w:r>
      <w:r w:rsidR="006C5BDF">
        <w:t>62</w:t>
      </w:r>
      <w:r>
        <w:t xml:space="preserve">, </w:t>
      </w:r>
      <w:r>
        <w:rPr>
          <w:i/>
          <w:iCs/>
        </w:rPr>
        <w:t>SD</w:t>
      </w:r>
      <w:r>
        <w:t xml:space="preserve"> = 1.</w:t>
      </w:r>
      <w:r w:rsidR="006C5BDF">
        <w:t>27</w:t>
      </w:r>
      <w:r>
        <w:t>) were not perceived as more convincing than arguments in the psychosocial condition, (</w:t>
      </w:r>
      <w:r>
        <w:rPr>
          <w:i/>
          <w:iCs/>
        </w:rPr>
        <w:t>M</w:t>
      </w:r>
      <w:r>
        <w:t xml:space="preserve"> = 4.</w:t>
      </w:r>
      <w:r w:rsidR="006C5BDF">
        <w:t>90</w:t>
      </w:r>
      <w:r>
        <w:t xml:space="preserve">, </w:t>
      </w:r>
      <w:r>
        <w:rPr>
          <w:i/>
          <w:iCs/>
        </w:rPr>
        <w:t>SD</w:t>
      </w:r>
      <w:r>
        <w:t xml:space="preserve"> = 1.</w:t>
      </w:r>
      <w:r w:rsidR="006C5BDF">
        <w:t>07</w:t>
      </w:r>
      <w:r>
        <w:t xml:space="preserve">; </w:t>
      </w:r>
      <w:r>
        <w:rPr>
          <w:i/>
        </w:rPr>
        <w:t>t</w:t>
      </w:r>
      <w:r>
        <w:t>(</w:t>
      </w:r>
      <w:r w:rsidR="006C5BDF">
        <w:t>90</w:t>
      </w:r>
      <w:r>
        <w:t xml:space="preserve">) = </w:t>
      </w:r>
      <w:r w:rsidR="006C5BDF">
        <w:t>-1</w:t>
      </w:r>
      <w:r>
        <w:t>.</w:t>
      </w:r>
      <w:r w:rsidR="006C5BDF">
        <w:t>16</w:t>
      </w:r>
      <w:r>
        <w:t xml:space="preserve">, </w:t>
      </w:r>
      <w:r w:rsidR="006C5BDF">
        <w:rPr>
          <w:i/>
        </w:rPr>
        <w:t xml:space="preserve">p </w:t>
      </w:r>
      <w:r w:rsidR="00A02DC3" w:rsidRPr="006538B9">
        <w:t>= .</w:t>
      </w:r>
      <w:r w:rsidR="006C5BDF">
        <w:t>25</w:t>
      </w:r>
      <w:r>
        <w:t>) undermining the alternative explanation that differences in the arguments' persuasiveness accounted for the difference in the amount of cookies consumed.</w:t>
      </w:r>
    </w:p>
    <w:p w14:paraId="0942F8AA" w14:textId="33D40566" w:rsidR="00AA0CD7" w:rsidRDefault="00AA0CD7" w:rsidP="009E1303">
      <w:pPr>
        <w:spacing w:line="480" w:lineRule="auto"/>
        <w:ind w:firstLine="709"/>
      </w:pPr>
      <w:r>
        <w:t>This study provides the first direct evidence for a behavioral effect of exposure to genetic explan</w:t>
      </w:r>
      <w:r w:rsidR="00195865">
        <w:t xml:space="preserve">ations for obesity.  Whereas a scientific psychosocial </w:t>
      </w:r>
      <w:r>
        <w:t xml:space="preserve">explanation for obesity did not significantly affect people’s eating behaviors (compared with the control condition), exposure to scientific claims that emphasized a genetic etiology for obesity </w:t>
      </w:r>
      <w:r w:rsidR="00823769">
        <w:t>provided indication of an increase in the consumption of unhealthy food</w:t>
      </w:r>
      <w:r>
        <w:t xml:space="preserve">.  </w:t>
      </w:r>
    </w:p>
    <w:p w14:paraId="694A5A5C" w14:textId="77777777" w:rsidR="00DE3700" w:rsidRDefault="00DE3700" w:rsidP="009E1303">
      <w:pPr>
        <w:spacing w:line="480" w:lineRule="auto"/>
        <w:ind w:firstLine="709"/>
      </w:pPr>
    </w:p>
    <w:p w14:paraId="64797BFF" w14:textId="77777777" w:rsidR="00DE3700" w:rsidRDefault="00DE3700" w:rsidP="009E1303">
      <w:pPr>
        <w:spacing w:line="480" w:lineRule="auto"/>
        <w:ind w:firstLine="709"/>
      </w:pPr>
      <w:r>
        <w:t>Figure 1: Weight (grams) of cookies consumed following exposure to etiological claims for obesity</w:t>
      </w:r>
    </w:p>
    <w:p w14:paraId="2396DA27" w14:textId="77777777" w:rsidR="0042733F" w:rsidRDefault="00257DE9" w:rsidP="009E1303">
      <w:pPr>
        <w:spacing w:line="480" w:lineRule="auto"/>
        <w:ind w:firstLine="709"/>
      </w:pPr>
      <w:r>
        <w:rPr>
          <w:noProof/>
          <w:lang w:eastAsia="en-US" w:bidi="ar-SA"/>
        </w:rPr>
        <w:lastRenderedPageBreak/>
        <w:drawing>
          <wp:inline distT="0" distB="0" distL="0" distR="0" wp14:anchorId="6114B652" wp14:editId="72A354CF">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3BCEF3" w14:textId="77777777" w:rsidR="00DE3700" w:rsidRDefault="00DE3700" w:rsidP="009E1303">
      <w:pPr>
        <w:spacing w:line="480" w:lineRule="auto"/>
        <w:jc w:val="center"/>
        <w:rPr>
          <w:b/>
        </w:rPr>
      </w:pPr>
    </w:p>
    <w:p w14:paraId="2A7F36BE" w14:textId="77777777" w:rsidR="00AA0CD7" w:rsidRDefault="00AA0CD7" w:rsidP="009E1303">
      <w:pPr>
        <w:spacing w:line="480" w:lineRule="auto"/>
        <w:jc w:val="center"/>
        <w:rPr>
          <w:b/>
        </w:rPr>
      </w:pPr>
      <w:r>
        <w:rPr>
          <w:b/>
        </w:rPr>
        <w:t>General Discussion</w:t>
      </w:r>
    </w:p>
    <w:p w14:paraId="6D63D13E" w14:textId="77777777" w:rsidR="00AA0CD7" w:rsidRDefault="00AA0CD7" w:rsidP="009E1303">
      <w:pPr>
        <w:spacing w:line="480" w:lineRule="auto"/>
        <w:ind w:firstLine="709"/>
      </w:pPr>
      <w:r>
        <w:t xml:space="preserve">Clarke (1995) has argued that testing for susceptibility genes may divert people’s attention away from modifiable lifestyle and environmental factors.  The present findings support this argument, indicating that a perceived genetic etiology for obesity is associated with a belief that obese people cannot control their weight.  </w:t>
      </w:r>
      <w:r w:rsidR="00865648">
        <w:t xml:space="preserve">Additionally, individuals appear to perceive more control over one’s weight and less determinism when one’s metabolic rate is attributed to an experiential cause rather than a genetic cause.  </w:t>
      </w:r>
      <w:r w:rsidR="00D5721D">
        <w:t>Further</w:t>
      </w:r>
      <w:r>
        <w:t xml:space="preserve">more, exposure to genetic explanations for obesity led to </w:t>
      </w:r>
      <w:r w:rsidR="00FA7A77">
        <w:t>less restricted</w:t>
      </w:r>
      <w:r>
        <w:t xml:space="preserve"> eating behavior</w:t>
      </w:r>
      <w:r w:rsidR="00742790">
        <w:t>s</w:t>
      </w:r>
      <w:r>
        <w:t xml:space="preserve">. </w:t>
      </w:r>
    </w:p>
    <w:p w14:paraId="295F1689" w14:textId="2CD8EC02" w:rsidR="00AA0CD7" w:rsidRDefault="00AA0CD7" w:rsidP="009E1303">
      <w:pPr>
        <w:spacing w:line="480" w:lineRule="auto"/>
        <w:ind w:firstLine="709"/>
      </w:pPr>
      <w:r>
        <w:t xml:space="preserve">Interestingly, some research suggests that receiving personal feedback on whether one is a carrier of </w:t>
      </w:r>
      <w:r w:rsidR="00233261">
        <w:t>a</w:t>
      </w:r>
      <w:r>
        <w:t xml:space="preserve"> genetic variant</w:t>
      </w:r>
      <w:r w:rsidR="00233261">
        <w:t xml:space="preserve"> associated with obesity</w:t>
      </w:r>
      <w:r>
        <w:t xml:space="preserve"> may serve to </w:t>
      </w:r>
      <w:r>
        <w:rPr>
          <w:i/>
        </w:rPr>
        <w:t>reduce</w:t>
      </w:r>
      <w:r>
        <w:t xml:space="preserve"> </w:t>
      </w:r>
      <w:r w:rsidR="00233261">
        <w:t xml:space="preserve">the </w:t>
      </w:r>
      <w:r>
        <w:t xml:space="preserve">deterministic perceptions linking genetic etiology to obesity (Harvey-Berino et al., 2001).  Specifically, that study found that participants who were truthfully informed that they carried </w:t>
      </w:r>
      <w:r w:rsidR="00805039">
        <w:t xml:space="preserve">an </w:t>
      </w:r>
      <w:r>
        <w:t xml:space="preserve">obesity-linked polymorphism stated that they believed that losing weight was </w:t>
      </w:r>
      <w:r>
        <w:rPr>
          <w:i/>
        </w:rPr>
        <w:t>more</w:t>
      </w:r>
      <w:r>
        <w:t xml:space="preserve"> under an individual’s control than </w:t>
      </w:r>
      <w:r w:rsidR="003C3D07">
        <w:t xml:space="preserve">did </w:t>
      </w:r>
      <w:r>
        <w:t xml:space="preserve">participants who were informed that they were not carriers of this specific variant.  These results suggest some rationalizations on the part of people who were identified as carriers of </w:t>
      </w:r>
      <w:r w:rsidR="00805039">
        <w:t xml:space="preserve">an </w:t>
      </w:r>
      <w:r>
        <w:t xml:space="preserve">obesity-linked polymorphism; </w:t>
      </w:r>
      <w:r>
        <w:lastRenderedPageBreak/>
        <w:t xml:space="preserve">rationalizations that were perhaps motivated responses to deal with the threatening information that their obesity may have a genetic component.  In contrast, the present studies demonstrated that people’s encounters with genetic arguments for obesity led them to report and act as though the existence of links between genes and obesity made one’s obesity risk an issue beyond </w:t>
      </w:r>
      <w:r w:rsidR="00865648">
        <w:t>one’s</w:t>
      </w:r>
      <w:r>
        <w:t xml:space="preserve"> personal control.  Future research that compares and contrasts messages communicating public genetic etiological claims and personal genomic/genetic feedback is greatly needed.</w:t>
      </w:r>
    </w:p>
    <w:p w14:paraId="3FF04589" w14:textId="77777777" w:rsidR="00AA0CD7" w:rsidRDefault="00AA0CD7" w:rsidP="009E1303">
      <w:pPr>
        <w:spacing w:line="480" w:lineRule="auto"/>
      </w:pPr>
      <w:r>
        <w:tab/>
        <w:t>The present findings are concordant with Dar-Nimrod and Heine’s (</w:t>
      </w:r>
      <w:r w:rsidR="00865648">
        <w:t>2</w:t>
      </w:r>
      <w:r w:rsidR="008263EF">
        <w:t>011</w:t>
      </w:r>
      <w:r>
        <w:t>) arguments that many people perceive genes to be the ultimate source for one’s essence and defining characteristics, and that encounters with genetic etiological arguments prime essentialist thinking.  When people encounter such genetic attributions for some characteristic</w:t>
      </w:r>
      <w:r w:rsidR="003E190C">
        <w:t>,</w:t>
      </w:r>
      <w:r>
        <w:t xml:space="preserve"> they come to view that characteristic as beyond an individual’s control.  Adding to nascent research on behavioral consequences of exposure to genetic attributions for various phenomena (e.g., Beauchamp et al</w:t>
      </w:r>
      <w:r w:rsidRPr="00A25464">
        <w:t xml:space="preserve">., 2011; </w:t>
      </w:r>
      <w:r w:rsidRPr="00A25464">
        <w:rPr>
          <w:rStyle w:val="apple-style-span"/>
          <w:rFonts w:cs="Times New Roman"/>
        </w:rPr>
        <w:t>Chao, Chen, Roisman, &amp; Hong, 2007</w:t>
      </w:r>
      <w:r w:rsidRPr="00A25464">
        <w:rPr>
          <w:rStyle w:val="apple-style-span"/>
        </w:rPr>
        <w:t>; Dar-Nimrod &amp; Heine, 2006; Moe &amp; Pazzaglia, 2010</w:t>
      </w:r>
      <w:r w:rsidRPr="00A25464">
        <w:t>)</w:t>
      </w:r>
      <w:r w:rsidR="00085C21">
        <w:t>,</w:t>
      </w:r>
      <w:r w:rsidRPr="00A25464">
        <w:t xml:space="preserve"> the findings in the present</w:t>
      </w:r>
      <w:r>
        <w:t xml:space="preserve"> studies direct our attention to some unintended, but worrisome</w:t>
      </w:r>
      <w:r w:rsidR="00085C21">
        <w:t>,</w:t>
      </w:r>
      <w:r>
        <w:t xml:space="preserve"> consequences of the intersection between genetic research reports and public reactions.  </w:t>
      </w:r>
      <w:r w:rsidR="00841178">
        <w:t xml:space="preserve">The current findings that point </w:t>
      </w:r>
      <w:r w:rsidR="002A003B">
        <w:t>to</w:t>
      </w:r>
      <w:r w:rsidR="00841178">
        <w:t xml:space="preserve"> a reduction in </w:t>
      </w:r>
      <w:r w:rsidR="002A003B">
        <w:t xml:space="preserve">attempts to regulate </w:t>
      </w:r>
      <w:r w:rsidR="00841178">
        <w:t xml:space="preserve">eating </w:t>
      </w:r>
      <w:r w:rsidR="002A003B">
        <w:t xml:space="preserve">behavior </w:t>
      </w:r>
      <w:r w:rsidR="00841178">
        <w:t xml:space="preserve">following exposure to genetic attribution for obesity </w:t>
      </w:r>
      <w:r w:rsidR="00D737ED">
        <w:t>complement other recent work</w:t>
      </w:r>
      <w:r w:rsidR="00CF2B67">
        <w:t xml:space="preserve"> </w:t>
      </w:r>
      <w:r w:rsidR="00841178">
        <w:t>(</w:t>
      </w:r>
      <w:r w:rsidR="00D5721D">
        <w:t>Hoyt, Burnette, and Auster-Gussman</w:t>
      </w:r>
      <w:r w:rsidR="00841178">
        <w:t xml:space="preserve">, </w:t>
      </w:r>
      <w:r w:rsidR="00D5721D">
        <w:t xml:space="preserve">in press), </w:t>
      </w:r>
      <w:r w:rsidR="00841178">
        <w:t>which indicated</w:t>
      </w:r>
      <w:r w:rsidR="00D5721D">
        <w:t xml:space="preserve"> that presenting participants with the message that obesity is a disease undermine weight-loss </w:t>
      </w:r>
      <w:r w:rsidR="005F3FF0">
        <w:t>self-regulatory</w:t>
      </w:r>
      <w:r w:rsidR="00D5721D">
        <w:t xml:space="preserve"> processes.</w:t>
      </w:r>
      <w:r w:rsidR="005F3FF0">
        <w:t xml:space="preserve">  This overlap </w:t>
      </w:r>
      <w:r w:rsidR="005D7CDE">
        <w:t>further illustrates some of the shared process and consequences of</w:t>
      </w:r>
      <w:r w:rsidR="005F3FF0">
        <w:t xml:space="preserve"> medicalization and geneticization (e.g., </w:t>
      </w:r>
      <w:r w:rsidR="005D7CDE" w:rsidRPr="005F3FF0">
        <w:rPr>
          <w:rFonts w:cs="Times New Roman"/>
          <w:color w:val="222222"/>
          <w:shd w:val="clear" w:color="auto" w:fill="FFFFFF"/>
        </w:rPr>
        <w:t>Árnason, V., &amp; Hjörleifsson</w:t>
      </w:r>
      <w:r w:rsidR="005D7CDE">
        <w:rPr>
          <w:rFonts w:cs="Times New Roman"/>
          <w:color w:val="222222"/>
          <w:shd w:val="clear" w:color="auto" w:fill="FFFFFF"/>
        </w:rPr>
        <w:t>, 2007;</w:t>
      </w:r>
      <w:r w:rsidR="005D7CDE">
        <w:t xml:space="preserve"> </w:t>
      </w:r>
      <w:r w:rsidR="005F3FF0">
        <w:t>Perez, 2014</w:t>
      </w:r>
      <w:r w:rsidR="005D7CDE">
        <w:t>; Shostak, Conrad, &amp; Horwitz, 2008</w:t>
      </w:r>
      <w:r w:rsidR="005F3FF0">
        <w:t>)</w:t>
      </w:r>
      <w:r w:rsidR="005D7CDE">
        <w:t>.</w:t>
      </w:r>
    </w:p>
    <w:p w14:paraId="7FA86258" w14:textId="41767605" w:rsidR="00AA0CD7" w:rsidRDefault="00AA0CD7" w:rsidP="009E1303">
      <w:pPr>
        <w:spacing w:line="480" w:lineRule="auto"/>
        <w:ind w:firstLine="709"/>
      </w:pPr>
      <w:r>
        <w:t>As genetic research steadily grows and appears to be one of the more enthusiastically featured subjects covered by science writers in the po</w:t>
      </w:r>
      <w:r w:rsidR="008263EF">
        <w:t>pular media (e.g., Conrad, 1999</w:t>
      </w:r>
      <w:r>
        <w:t>; Nelkin &amp; Lindee, 1995), it is not surprising to find a sizable shift in perceived causes of obesity among the general public</w:t>
      </w:r>
      <w:r w:rsidR="00865648">
        <w:t xml:space="preserve"> (Singer et al., 1998)</w:t>
      </w:r>
      <w:r>
        <w:t>.  As the present stud</w:t>
      </w:r>
      <w:r w:rsidR="00637BF8">
        <w:t>ie</w:t>
      </w:r>
      <w:r>
        <w:t>s</w:t>
      </w:r>
      <w:r w:rsidR="00637BF8">
        <w:t>’</w:t>
      </w:r>
      <w:r>
        <w:t xml:space="preserve"> findings suggest, this change in causal attributions may </w:t>
      </w:r>
      <w:r>
        <w:lastRenderedPageBreak/>
        <w:t xml:space="preserve">actually contribute to </w:t>
      </w:r>
      <w:r w:rsidR="00DE4128">
        <w:t>overeating, although additional data are recommended to gain more confidence in this effect</w:t>
      </w:r>
      <w:r>
        <w:t xml:space="preserve">.  As the focus on genetic explanations for common human phenomena is not predicted to abate, there is a growing need for researchers and the media to be mindful in considering the social and behavioral implications of genetic etiological communications.  </w:t>
      </w:r>
      <w:r w:rsidR="00637BF8">
        <w:t xml:space="preserve">Research into the manners in which such explanations can be communicated without detrimental effects is a worthy future goal. </w:t>
      </w:r>
    </w:p>
    <w:p w14:paraId="79D1D867" w14:textId="77777777" w:rsidR="00AA0CD7" w:rsidRDefault="00AA0CD7" w:rsidP="009E1303">
      <w:pPr>
        <w:spacing w:line="480" w:lineRule="auto"/>
      </w:pPr>
    </w:p>
    <w:p w14:paraId="0267F32A" w14:textId="77777777" w:rsidR="00AA0CD7" w:rsidRDefault="00AA0CD7" w:rsidP="009E1303">
      <w:pPr>
        <w:spacing w:line="480" w:lineRule="auto"/>
      </w:pPr>
    </w:p>
    <w:p w14:paraId="68E83C97" w14:textId="77777777" w:rsidR="00CF2B67" w:rsidRDefault="00CF2B67" w:rsidP="009E1303">
      <w:pPr>
        <w:spacing w:line="480" w:lineRule="auto"/>
        <w:ind w:left="540" w:hanging="540"/>
        <w:jc w:val="center"/>
        <w:rPr>
          <w:b/>
        </w:rPr>
      </w:pPr>
      <w:r>
        <w:rPr>
          <w:b/>
        </w:rPr>
        <w:br w:type="page"/>
      </w:r>
    </w:p>
    <w:p w14:paraId="30695EC0" w14:textId="77777777" w:rsidR="00CF2B67" w:rsidRDefault="00CF2B67" w:rsidP="009E1303">
      <w:pPr>
        <w:spacing w:line="480" w:lineRule="auto"/>
        <w:ind w:left="540" w:hanging="540"/>
        <w:jc w:val="center"/>
        <w:rPr>
          <w:b/>
        </w:rPr>
      </w:pPr>
      <w:r>
        <w:rPr>
          <w:b/>
        </w:rPr>
        <w:lastRenderedPageBreak/>
        <w:t>Author Note</w:t>
      </w:r>
    </w:p>
    <w:p w14:paraId="5564B9D3" w14:textId="77777777" w:rsidR="00CF2B67" w:rsidRDefault="00CF2B67" w:rsidP="009E1303">
      <w:pPr>
        <w:spacing w:line="480" w:lineRule="auto"/>
      </w:pPr>
      <w:r>
        <w:t xml:space="preserve">This research was funded by a SSHRC grant (410-2011-0409) to Heine, and an ARC grant (DP140104527) to Dar-Nimrod. The authors wish to thank Nina Abizadeh, Kathryn Young, and Signe </w:t>
      </w:r>
      <w:r>
        <w:rPr>
          <w:rStyle w:val="apple-style-span"/>
          <w:rFonts w:cs="Times New Roman"/>
          <w:color w:val="000000"/>
        </w:rPr>
        <w:t>Wiingaard</w:t>
      </w:r>
      <w:r>
        <w:t xml:space="preserve"> for their assistance with data collection. Correspondence can be addressed by e-mail to Ilan Dar-Nimrod,</w:t>
      </w:r>
      <w:r w:rsidRPr="0056550A">
        <w:rPr>
          <w:lang w:val="pt-BR"/>
        </w:rPr>
        <w:t xml:space="preserve"> </w:t>
      </w:r>
      <w:r>
        <w:rPr>
          <w:lang w:val="pt-BR"/>
        </w:rPr>
        <w:t>ilan.dar-nimrod@sydney.edu.au.</w:t>
      </w:r>
    </w:p>
    <w:p w14:paraId="1439B7D6" w14:textId="77777777" w:rsidR="00AA0CD7" w:rsidRPr="00A25464" w:rsidRDefault="00AA0CD7" w:rsidP="009E1303">
      <w:pPr>
        <w:pageBreakBefore/>
        <w:spacing w:line="480" w:lineRule="auto"/>
        <w:jc w:val="center"/>
      </w:pPr>
      <w:r w:rsidRPr="00A25464">
        <w:lastRenderedPageBreak/>
        <w:t>References</w:t>
      </w:r>
    </w:p>
    <w:p w14:paraId="054E3A9A" w14:textId="77777777" w:rsidR="00AA0CD7" w:rsidRPr="00A25464" w:rsidRDefault="00AA0CD7" w:rsidP="009E1303">
      <w:pPr>
        <w:spacing w:line="480" w:lineRule="auto"/>
        <w:ind w:left="630" w:hanging="630"/>
        <w:rPr>
          <w:rStyle w:val="apple-style-span"/>
          <w:rFonts w:cs="Times New Roman"/>
        </w:rPr>
      </w:pPr>
      <w:r w:rsidRPr="00A25464">
        <w:rPr>
          <w:rStyle w:val="apple-style-span"/>
          <w:rFonts w:cs="Times New Roman"/>
        </w:rPr>
        <w:t>Ajzen, I. (1991). The theory of planned behavior.</w:t>
      </w:r>
      <w:r w:rsidRPr="00A25464">
        <w:rPr>
          <w:rStyle w:val="apple-converted-space"/>
          <w:rFonts w:cs="Times New Roman"/>
        </w:rPr>
        <w:t> </w:t>
      </w:r>
      <w:r w:rsidRPr="00A25464">
        <w:rPr>
          <w:rStyle w:val="apple-style-span"/>
          <w:rFonts w:cs="Times New Roman"/>
          <w:i/>
          <w:iCs/>
        </w:rPr>
        <w:t>Organizational Behavior &amp; Human Decision Processes</w:t>
      </w:r>
      <w:r w:rsidRPr="00A25464">
        <w:rPr>
          <w:rStyle w:val="apple-style-span"/>
          <w:rFonts w:cs="Times New Roman"/>
        </w:rPr>
        <w:t xml:space="preserve">, </w:t>
      </w:r>
      <w:r w:rsidRPr="00A25464">
        <w:rPr>
          <w:rStyle w:val="apple-style-span"/>
          <w:rFonts w:cs="Times New Roman"/>
          <w:i/>
        </w:rPr>
        <w:t>50</w:t>
      </w:r>
      <w:r w:rsidRPr="00A25464">
        <w:rPr>
          <w:rStyle w:val="apple-style-span"/>
          <w:rFonts w:cs="Times New Roman"/>
        </w:rPr>
        <w:t xml:space="preserve">, 179-211. doi:10.1016/0749-5978(91)90020-T </w:t>
      </w:r>
    </w:p>
    <w:p w14:paraId="252ADFB8" w14:textId="77777777" w:rsidR="00AA0CD7" w:rsidRPr="00417D8C" w:rsidRDefault="00AA0CD7" w:rsidP="009E1303">
      <w:pPr>
        <w:spacing w:line="480" w:lineRule="auto"/>
        <w:ind w:left="630" w:hanging="630"/>
        <w:rPr>
          <w:rStyle w:val="apple-style-span"/>
          <w:rFonts w:cs="Times New Roman"/>
        </w:rPr>
      </w:pPr>
      <w:r w:rsidRPr="00A25464">
        <w:rPr>
          <w:rStyle w:val="apple-style-span"/>
          <w:rFonts w:cs="Times New Roman"/>
        </w:rPr>
        <w:t xml:space="preserve">Ajzen, I. (2002). Perceived behavioral control, self-efficacy, locus of control, and the theory of planned </w:t>
      </w:r>
      <w:r w:rsidRPr="00417D8C">
        <w:rPr>
          <w:rStyle w:val="apple-style-span"/>
          <w:rFonts w:cs="Times New Roman"/>
        </w:rPr>
        <w:t>behavior.</w:t>
      </w:r>
      <w:r w:rsidRPr="00417D8C">
        <w:rPr>
          <w:rStyle w:val="apple-converted-space"/>
          <w:rFonts w:cs="Times New Roman"/>
        </w:rPr>
        <w:t> </w:t>
      </w:r>
      <w:r w:rsidRPr="00417D8C">
        <w:rPr>
          <w:rStyle w:val="apple-style-span"/>
          <w:rFonts w:cs="Times New Roman"/>
          <w:i/>
          <w:iCs/>
        </w:rPr>
        <w:t>Journal of Applied Social Psychology</w:t>
      </w:r>
      <w:r w:rsidRPr="00417D8C">
        <w:rPr>
          <w:rStyle w:val="apple-style-span"/>
          <w:rFonts w:cs="Times New Roman"/>
        </w:rPr>
        <w:t xml:space="preserve">, </w:t>
      </w:r>
      <w:r w:rsidRPr="00417D8C">
        <w:rPr>
          <w:rStyle w:val="apple-style-span"/>
          <w:rFonts w:cs="Times New Roman"/>
          <w:i/>
        </w:rPr>
        <w:t>32</w:t>
      </w:r>
      <w:r w:rsidRPr="00417D8C">
        <w:rPr>
          <w:rStyle w:val="apple-style-span"/>
          <w:rFonts w:cs="Times New Roman"/>
        </w:rPr>
        <w:t>, 665-683. doi:10.1111/j.1559-1816.2002.tb00236.x</w:t>
      </w:r>
    </w:p>
    <w:p w14:paraId="78D54B0A" w14:textId="77777777" w:rsidR="00AA0CD7" w:rsidRPr="00417D8C" w:rsidRDefault="00AA0CD7" w:rsidP="009E1303">
      <w:pPr>
        <w:spacing w:line="480" w:lineRule="auto"/>
        <w:ind w:left="630" w:hanging="630"/>
        <w:rPr>
          <w:rStyle w:val="apple-style-span"/>
          <w:rFonts w:cs="Times New Roman"/>
        </w:rPr>
      </w:pPr>
      <w:r w:rsidRPr="00417D8C">
        <w:rPr>
          <w:rStyle w:val="apple-style-span"/>
          <w:rFonts w:cs="Times New Roman"/>
        </w:rPr>
        <w:t>Armitage, C. J., &amp; Conner, M. (1999). Distinguishing perceptions of control from self-efficacy: Predicting consumption of a low-fat diet using the theory of planned behavior.</w:t>
      </w:r>
      <w:r w:rsidRPr="00417D8C">
        <w:rPr>
          <w:rStyle w:val="apple-converted-space"/>
          <w:rFonts w:cs="Times New Roman"/>
        </w:rPr>
        <w:t> </w:t>
      </w:r>
      <w:r w:rsidRPr="00417D8C">
        <w:rPr>
          <w:rStyle w:val="apple-style-span"/>
          <w:rFonts w:cs="Times New Roman"/>
          <w:i/>
          <w:iCs/>
        </w:rPr>
        <w:t>Journal of Applied Social Psychology</w:t>
      </w:r>
      <w:r w:rsidRPr="00417D8C">
        <w:rPr>
          <w:rStyle w:val="apple-style-span"/>
          <w:rFonts w:cs="Times New Roman"/>
        </w:rPr>
        <w:t xml:space="preserve">, </w:t>
      </w:r>
      <w:r w:rsidRPr="00417D8C">
        <w:rPr>
          <w:rStyle w:val="apple-style-span"/>
          <w:rFonts w:cs="Times New Roman"/>
          <w:i/>
        </w:rPr>
        <w:t>29</w:t>
      </w:r>
      <w:r w:rsidRPr="00417D8C">
        <w:rPr>
          <w:rStyle w:val="apple-style-span"/>
          <w:rFonts w:cs="Times New Roman"/>
        </w:rPr>
        <w:t>, 72-90. doi:10.1111/j.1559-1816.1999.tb01375.x</w:t>
      </w:r>
    </w:p>
    <w:p w14:paraId="29ACBD7D" w14:textId="77777777" w:rsidR="00417D8C" w:rsidRPr="005F3FF0" w:rsidRDefault="00417D8C" w:rsidP="009E1303">
      <w:pPr>
        <w:spacing w:line="480" w:lineRule="auto"/>
        <w:ind w:left="630" w:hanging="630"/>
        <w:rPr>
          <w:rStyle w:val="apple-style-span"/>
          <w:rFonts w:cs="Times New Roman"/>
        </w:rPr>
      </w:pPr>
      <w:r w:rsidRPr="005F3FF0">
        <w:rPr>
          <w:rFonts w:cs="Times New Roman"/>
          <w:color w:val="222222"/>
          <w:shd w:val="clear" w:color="auto" w:fill="FFFFFF"/>
        </w:rPr>
        <w:t>Armstrong, J., &amp; Reilly, J. J. (2002). Breastfeeding and lowering the risk of childhood obesity.</w:t>
      </w:r>
      <w:r w:rsidRPr="005F3FF0">
        <w:rPr>
          <w:rStyle w:val="apple-converted-space"/>
          <w:rFonts w:cs="Times New Roman"/>
          <w:color w:val="222222"/>
          <w:shd w:val="clear" w:color="auto" w:fill="FFFFFF"/>
        </w:rPr>
        <w:t> </w:t>
      </w:r>
      <w:r w:rsidRPr="005F3FF0">
        <w:rPr>
          <w:rFonts w:cs="Times New Roman"/>
          <w:i/>
          <w:iCs/>
          <w:color w:val="222222"/>
          <w:shd w:val="clear" w:color="auto" w:fill="FFFFFF"/>
        </w:rPr>
        <w:t>The Lancet</w:t>
      </w:r>
      <w:r w:rsidRPr="005F3FF0">
        <w:rPr>
          <w:rFonts w:cs="Times New Roman"/>
          <w:color w:val="222222"/>
          <w:shd w:val="clear" w:color="auto" w:fill="FFFFFF"/>
        </w:rPr>
        <w:t>,</w:t>
      </w:r>
      <w:r w:rsidRPr="005F3FF0">
        <w:rPr>
          <w:rStyle w:val="apple-converted-space"/>
          <w:rFonts w:cs="Times New Roman"/>
          <w:color w:val="222222"/>
          <w:shd w:val="clear" w:color="auto" w:fill="FFFFFF"/>
        </w:rPr>
        <w:t> </w:t>
      </w:r>
      <w:r w:rsidRPr="005F3FF0">
        <w:rPr>
          <w:rFonts w:cs="Times New Roman"/>
          <w:i/>
          <w:iCs/>
          <w:color w:val="222222"/>
          <w:shd w:val="clear" w:color="auto" w:fill="FFFFFF"/>
        </w:rPr>
        <w:t>359</w:t>
      </w:r>
      <w:r w:rsidRPr="005F3FF0">
        <w:rPr>
          <w:rFonts w:cs="Times New Roman"/>
          <w:color w:val="222222"/>
          <w:shd w:val="clear" w:color="auto" w:fill="FFFFFF"/>
        </w:rPr>
        <w:t>(9322), 2003-2004.</w:t>
      </w:r>
      <w:r w:rsidRPr="005F3FF0">
        <w:rPr>
          <w:rStyle w:val="apple-style-span"/>
          <w:rFonts w:cs="Times New Roman"/>
        </w:rPr>
        <w:t xml:space="preserve"> </w:t>
      </w:r>
    </w:p>
    <w:p w14:paraId="62EE2BD1" w14:textId="77777777" w:rsidR="005F3FF0" w:rsidRPr="005F3FF0" w:rsidRDefault="005F3FF0" w:rsidP="009E1303">
      <w:pPr>
        <w:spacing w:line="480" w:lineRule="auto"/>
        <w:ind w:left="630" w:hanging="630"/>
        <w:rPr>
          <w:rStyle w:val="apple-style-span"/>
          <w:rFonts w:cs="Times New Roman"/>
        </w:rPr>
      </w:pPr>
      <w:r w:rsidRPr="005F3FF0">
        <w:rPr>
          <w:rFonts w:cs="Times New Roman"/>
          <w:color w:val="222222"/>
          <w:shd w:val="clear" w:color="auto" w:fill="FFFFFF"/>
        </w:rPr>
        <w:t>Árnason, V., &amp; Hjörleifsson, S. (2007). Geneticization and bioethics: Advancing debate and research.</w:t>
      </w:r>
      <w:r w:rsidRPr="005F3FF0">
        <w:rPr>
          <w:rStyle w:val="apple-converted-space"/>
          <w:rFonts w:cs="Times New Roman"/>
          <w:color w:val="222222"/>
          <w:shd w:val="clear" w:color="auto" w:fill="FFFFFF"/>
        </w:rPr>
        <w:t> </w:t>
      </w:r>
      <w:r w:rsidRPr="005F3FF0">
        <w:rPr>
          <w:rFonts w:cs="Times New Roman"/>
          <w:i/>
          <w:iCs/>
          <w:color w:val="222222"/>
          <w:shd w:val="clear" w:color="auto" w:fill="FFFFFF"/>
        </w:rPr>
        <w:t>Medicine, Health Care and Philosophy</w:t>
      </w:r>
      <w:r w:rsidRPr="005F3FF0">
        <w:rPr>
          <w:rFonts w:cs="Times New Roman"/>
          <w:color w:val="222222"/>
          <w:shd w:val="clear" w:color="auto" w:fill="FFFFFF"/>
        </w:rPr>
        <w:t>,</w:t>
      </w:r>
      <w:r w:rsidRPr="005F3FF0">
        <w:rPr>
          <w:rStyle w:val="apple-converted-space"/>
          <w:rFonts w:cs="Times New Roman"/>
          <w:color w:val="222222"/>
          <w:shd w:val="clear" w:color="auto" w:fill="FFFFFF"/>
        </w:rPr>
        <w:t> </w:t>
      </w:r>
      <w:r w:rsidRPr="005F3FF0">
        <w:rPr>
          <w:rFonts w:cs="Times New Roman"/>
          <w:i/>
          <w:iCs/>
          <w:color w:val="222222"/>
          <w:shd w:val="clear" w:color="auto" w:fill="FFFFFF"/>
        </w:rPr>
        <w:t>10</w:t>
      </w:r>
      <w:r w:rsidRPr="005F3FF0">
        <w:rPr>
          <w:rFonts w:cs="Times New Roman"/>
          <w:color w:val="222222"/>
          <w:shd w:val="clear" w:color="auto" w:fill="FFFFFF"/>
        </w:rPr>
        <w:t>(4), 417-431.</w:t>
      </w:r>
      <w:r w:rsidRPr="005F3FF0">
        <w:rPr>
          <w:rStyle w:val="apple-style-span"/>
          <w:rFonts w:cs="Times New Roman"/>
        </w:rPr>
        <w:t xml:space="preserve"> </w:t>
      </w:r>
    </w:p>
    <w:p w14:paraId="6613CEBC" w14:textId="77777777" w:rsidR="00AA0CD7" w:rsidRPr="00A25464" w:rsidRDefault="00AA0CD7" w:rsidP="009E1303">
      <w:pPr>
        <w:spacing w:line="480" w:lineRule="auto"/>
        <w:ind w:left="630" w:hanging="630"/>
        <w:rPr>
          <w:rFonts w:cs="Times New Roman"/>
        </w:rPr>
      </w:pPr>
      <w:r w:rsidRPr="005F3FF0">
        <w:rPr>
          <w:rStyle w:val="apple-style-span"/>
          <w:rFonts w:cs="Times New Roman"/>
        </w:rPr>
        <w:t>Beauchamp, M., Rhodes, R., Kreutzer, C., &amp; Rupert, J. (2011). Experiential versus genetic accounts of inactivity: implications for inactive individuals' self-efficacy</w:t>
      </w:r>
      <w:r w:rsidRPr="00A25464">
        <w:rPr>
          <w:rStyle w:val="apple-style-span"/>
          <w:rFonts w:cs="Times New Roman"/>
        </w:rPr>
        <w:t xml:space="preserve"> beliefs and intentions to exercise.</w:t>
      </w:r>
      <w:r w:rsidRPr="00A25464">
        <w:rPr>
          <w:rStyle w:val="apple-converted-space"/>
          <w:rFonts w:cs="Times New Roman"/>
        </w:rPr>
        <w:t> </w:t>
      </w:r>
      <w:r w:rsidRPr="00A25464">
        <w:rPr>
          <w:rStyle w:val="apple-style-span"/>
          <w:rFonts w:cs="Times New Roman"/>
          <w:i/>
          <w:iCs/>
        </w:rPr>
        <w:t>Behavioral Medicine</w:t>
      </w:r>
      <w:r w:rsidRPr="00A25464">
        <w:rPr>
          <w:rStyle w:val="apple-style-span"/>
          <w:rFonts w:cs="Times New Roman"/>
        </w:rPr>
        <w:t xml:space="preserve">, </w:t>
      </w:r>
      <w:r w:rsidRPr="00A25464">
        <w:rPr>
          <w:rStyle w:val="apple-style-span"/>
          <w:rFonts w:cs="Times New Roman"/>
          <w:i/>
        </w:rPr>
        <w:t>37</w:t>
      </w:r>
      <w:r w:rsidRPr="00A25464">
        <w:rPr>
          <w:rStyle w:val="apple-style-span"/>
          <w:rFonts w:cs="Times New Roman"/>
        </w:rPr>
        <w:t>, 8-14.</w:t>
      </w:r>
      <w:r w:rsidRPr="00A25464">
        <w:rPr>
          <w:rFonts w:cs="Times New Roman"/>
        </w:rPr>
        <w:t xml:space="preserve"> </w:t>
      </w:r>
      <w:hyperlink r:id="rId14" w:anchor="_blank" w:history="1">
        <w:r w:rsidRPr="003E190C">
          <w:rPr>
            <w:rStyle w:val="Hyperlink"/>
            <w:color w:val="auto"/>
            <w:u w:val="none"/>
          </w:rPr>
          <w:t>doi:10.1080/08964289.2010.540263</w:t>
        </w:r>
      </w:hyperlink>
    </w:p>
    <w:p w14:paraId="20EEEC06" w14:textId="77777777" w:rsidR="00AA0CD7" w:rsidRPr="00A25464" w:rsidRDefault="00AA0CD7" w:rsidP="009E1303">
      <w:pPr>
        <w:autoSpaceDE w:val="0"/>
        <w:spacing w:line="480" w:lineRule="auto"/>
        <w:ind w:left="630" w:hanging="630"/>
        <w:rPr>
          <w:rStyle w:val="apple-style-span"/>
          <w:rFonts w:cs="Times New Roman"/>
        </w:rPr>
      </w:pPr>
      <w:r w:rsidRPr="00A25464">
        <w:rPr>
          <w:rFonts w:cs="Times New Roman"/>
        </w:rPr>
        <w:t xml:space="preserve">Brescoll, V., &amp; LaFrance, M. (2004). The correlates and consequences of newspaper reports of research on sex differences. </w:t>
      </w:r>
      <w:r w:rsidRPr="00A25464">
        <w:rPr>
          <w:rFonts w:cs="Times New Roman"/>
          <w:i/>
        </w:rPr>
        <w:t>Psychological Science, 15</w:t>
      </w:r>
      <w:r w:rsidRPr="00A25464">
        <w:rPr>
          <w:rFonts w:cs="Times New Roman"/>
        </w:rPr>
        <w:t xml:space="preserve">, 515–520. </w:t>
      </w:r>
      <w:r w:rsidRPr="00A25464">
        <w:rPr>
          <w:rStyle w:val="apple-style-span"/>
          <w:rFonts w:cs="Times New Roman"/>
        </w:rPr>
        <w:t>doi:10.1111/j.0956-7976.2004.00712.x</w:t>
      </w:r>
    </w:p>
    <w:p w14:paraId="08E160F9" w14:textId="77777777" w:rsidR="00AA0CD7" w:rsidRPr="00A25464" w:rsidRDefault="00AA0CD7" w:rsidP="009E1303">
      <w:pPr>
        <w:widowControl/>
        <w:suppressAutoHyphens w:val="0"/>
        <w:autoSpaceDE w:val="0"/>
        <w:spacing w:line="480" w:lineRule="auto"/>
        <w:ind w:left="630" w:hanging="630"/>
        <w:rPr>
          <w:rFonts w:cs="Times New Roman"/>
        </w:rPr>
      </w:pPr>
      <w:r w:rsidRPr="00A25464">
        <w:rPr>
          <w:rStyle w:val="apple-style-span"/>
          <w:rFonts w:cs="Times New Roman"/>
        </w:rPr>
        <w:t>Chao, M., Chen, J., Roisman, G. I., &amp; Hong, Y. (2007). Essentializing race: Implications for bicultural individuals' cognition and physiological reactivity.</w:t>
      </w:r>
      <w:r w:rsidRPr="00A25464">
        <w:rPr>
          <w:rStyle w:val="apple-converted-space"/>
          <w:rFonts w:cs="Times New Roman"/>
        </w:rPr>
        <w:t> </w:t>
      </w:r>
      <w:r w:rsidRPr="00A25464">
        <w:rPr>
          <w:rStyle w:val="apple-style-span"/>
          <w:rFonts w:cs="Times New Roman"/>
          <w:i/>
          <w:iCs/>
        </w:rPr>
        <w:t>Psychological Science</w:t>
      </w:r>
      <w:r w:rsidRPr="00A25464">
        <w:rPr>
          <w:rStyle w:val="apple-style-span"/>
          <w:rFonts w:cs="Times New Roman"/>
        </w:rPr>
        <w:t xml:space="preserve">, </w:t>
      </w:r>
      <w:r w:rsidRPr="00A25464">
        <w:rPr>
          <w:rStyle w:val="apple-style-span"/>
          <w:rFonts w:cs="Times New Roman"/>
          <w:i/>
        </w:rPr>
        <w:t>18</w:t>
      </w:r>
      <w:r w:rsidRPr="00A25464">
        <w:rPr>
          <w:rStyle w:val="apple-style-span"/>
          <w:rFonts w:cs="Times New Roman"/>
        </w:rPr>
        <w:t>, 341-348. doi:10.1111/j.1467-9280.2007.01901.x</w:t>
      </w:r>
      <w:r w:rsidRPr="00A25464">
        <w:rPr>
          <w:rFonts w:cs="Times New Roman"/>
        </w:rPr>
        <w:t xml:space="preserve"> </w:t>
      </w:r>
    </w:p>
    <w:p w14:paraId="4951EC2D" w14:textId="77777777" w:rsidR="00AA0CD7" w:rsidRPr="00A25464" w:rsidRDefault="00AA0CD7" w:rsidP="009E1303">
      <w:pPr>
        <w:widowControl/>
        <w:suppressAutoHyphens w:val="0"/>
        <w:autoSpaceDE w:val="0"/>
        <w:spacing w:line="480" w:lineRule="auto"/>
        <w:ind w:left="630" w:hanging="630"/>
        <w:rPr>
          <w:rFonts w:cs="Times New Roman"/>
        </w:rPr>
      </w:pPr>
      <w:r w:rsidRPr="00A25464">
        <w:rPr>
          <w:rFonts w:cs="Times New Roman"/>
        </w:rPr>
        <w:t xml:space="preserve">Christakis, N. A., &amp; Fowler, J. H. (2007). The spread of obesity in large social networks over 32 years. </w:t>
      </w:r>
      <w:r w:rsidRPr="00A25464">
        <w:rPr>
          <w:rFonts w:cs="Times New Roman"/>
          <w:i/>
        </w:rPr>
        <w:t>New England Journal of Medicine, 357</w:t>
      </w:r>
      <w:r w:rsidRPr="00A25464">
        <w:rPr>
          <w:rFonts w:cs="Times New Roman"/>
        </w:rPr>
        <w:t xml:space="preserve">, 370-379. </w:t>
      </w:r>
      <w:hyperlink r:id="rId15" w:anchor="_blank" w:history="1">
        <w:r w:rsidRPr="003E190C">
          <w:rPr>
            <w:rStyle w:val="Hyperlink"/>
            <w:color w:val="auto"/>
            <w:u w:val="none"/>
          </w:rPr>
          <w:t>doi:10.1056/NEJMsa066082</w:t>
        </w:r>
      </w:hyperlink>
    </w:p>
    <w:p w14:paraId="66DE4B45" w14:textId="77777777" w:rsidR="00613EB6" w:rsidRPr="00A25464" w:rsidRDefault="00AA0CD7" w:rsidP="001B410C">
      <w:pPr>
        <w:widowControl/>
        <w:suppressAutoHyphens w:val="0"/>
        <w:autoSpaceDE w:val="0"/>
        <w:spacing w:line="480" w:lineRule="auto"/>
        <w:ind w:left="630" w:hanging="630"/>
        <w:rPr>
          <w:rFonts w:cs="Times New Roman"/>
        </w:rPr>
      </w:pPr>
      <w:r w:rsidRPr="00A25464">
        <w:rPr>
          <w:rFonts w:cs="Times New Roman"/>
        </w:rPr>
        <w:t xml:space="preserve">Clarke, A. (1995). Population screening for genetic susceptibility to disease. </w:t>
      </w:r>
      <w:r w:rsidRPr="00A25464">
        <w:rPr>
          <w:rFonts w:cs="Times New Roman"/>
          <w:i/>
        </w:rPr>
        <w:t xml:space="preserve">British Medical Journal, 311, </w:t>
      </w:r>
      <w:r w:rsidRPr="00A25464">
        <w:rPr>
          <w:rFonts w:cs="Times New Roman"/>
        </w:rPr>
        <w:t>35-3</w:t>
      </w:r>
      <w:r w:rsidRPr="00DF0988">
        <w:rPr>
          <w:rFonts w:cs="Times New Roman"/>
        </w:rPr>
        <w:t>8.</w:t>
      </w:r>
      <w:r w:rsidR="00DF0988" w:rsidRPr="00140422">
        <w:rPr>
          <w:rFonts w:cs="Times New Roman"/>
        </w:rPr>
        <w:t xml:space="preserve"> </w:t>
      </w:r>
      <w:r w:rsidR="00DF0988" w:rsidRPr="00CA7C31">
        <w:rPr>
          <w:rFonts w:cs="Times New Roman"/>
          <w:color w:val="333333"/>
        </w:rPr>
        <w:t>doi: http://dx.doi.org/10.1136/bmj.311.6996.35</w:t>
      </w:r>
    </w:p>
    <w:p w14:paraId="78FA767F" w14:textId="77777777" w:rsidR="00AA0CD7" w:rsidRPr="00613EB6" w:rsidRDefault="00AA0CD7" w:rsidP="009E1303">
      <w:pPr>
        <w:spacing w:line="480" w:lineRule="auto"/>
        <w:ind w:left="630" w:hanging="630"/>
        <w:rPr>
          <w:rFonts w:cs="Times New Roman"/>
        </w:rPr>
      </w:pPr>
      <w:r w:rsidRPr="00A25464">
        <w:rPr>
          <w:rFonts w:cs="Times New Roman"/>
        </w:rPr>
        <w:t xml:space="preserve">Cohen, J. (2000, July 11). Battle your biology? Fat chance. </w:t>
      </w:r>
      <w:r w:rsidRPr="00A25464">
        <w:rPr>
          <w:rFonts w:cs="Times New Roman"/>
          <w:i/>
        </w:rPr>
        <w:t>New York Post</w:t>
      </w:r>
      <w:r w:rsidRPr="00A25464">
        <w:rPr>
          <w:rFonts w:cs="Times New Roman"/>
        </w:rPr>
        <w:t xml:space="preserve">, Health, 1. </w:t>
      </w:r>
    </w:p>
    <w:p w14:paraId="3BA0DD93" w14:textId="77777777" w:rsidR="00AA0CD7" w:rsidRPr="003E190C" w:rsidRDefault="00AA0CD7" w:rsidP="009E1303">
      <w:pPr>
        <w:autoSpaceDE w:val="0"/>
        <w:spacing w:line="480" w:lineRule="auto"/>
        <w:ind w:left="630" w:hanging="630"/>
        <w:rPr>
          <w:rFonts w:cs="Times New Roman"/>
          <w:lang w:val="de-DE"/>
        </w:rPr>
      </w:pPr>
      <w:r w:rsidRPr="00A25464">
        <w:rPr>
          <w:rStyle w:val="Strong"/>
          <w:rFonts w:cs="Times New Roman"/>
          <w:b w:val="0"/>
        </w:rPr>
        <w:t>Conrad</w:t>
      </w:r>
      <w:r w:rsidRPr="00A25464">
        <w:rPr>
          <w:rStyle w:val="medium-font"/>
          <w:rFonts w:cs="Times New Roman"/>
        </w:rPr>
        <w:t xml:space="preserve">, </w:t>
      </w:r>
      <w:r w:rsidRPr="00A25464">
        <w:rPr>
          <w:rStyle w:val="Strong"/>
          <w:rFonts w:cs="Times New Roman"/>
          <w:b w:val="0"/>
        </w:rPr>
        <w:t>P. (1999).</w:t>
      </w:r>
      <w:r w:rsidRPr="00A25464">
        <w:rPr>
          <w:rStyle w:val="Strong"/>
          <w:rFonts w:cs="Times New Roman"/>
          <w:b w:val="0"/>
          <w:i/>
        </w:rPr>
        <w:t xml:space="preserve"> </w:t>
      </w:r>
      <w:r w:rsidRPr="00A25464">
        <w:rPr>
          <w:rFonts w:cs="Times New Roman"/>
        </w:rPr>
        <w:t>A mirage of genes.</w:t>
      </w:r>
      <w:r w:rsidRPr="00A25464">
        <w:rPr>
          <w:rStyle w:val="Strong"/>
          <w:rFonts w:cs="Times New Roman"/>
          <w:b w:val="0"/>
          <w:i/>
        </w:rPr>
        <w:t xml:space="preserve"> </w:t>
      </w:r>
      <w:r w:rsidRPr="00A25464">
        <w:rPr>
          <w:rStyle w:val="medium-font"/>
          <w:rFonts w:cs="Times New Roman"/>
          <w:i/>
        </w:rPr>
        <w:t>Sociology of Health &amp; Illness, 21</w:t>
      </w:r>
      <w:r w:rsidRPr="00A25464">
        <w:rPr>
          <w:rStyle w:val="medium-font"/>
          <w:rFonts w:cs="Times New Roman"/>
        </w:rPr>
        <w:t xml:space="preserve">, 228-241. </w:t>
      </w:r>
      <w:hyperlink r:id="rId16" w:anchor="_blank" w:history="1">
        <w:r w:rsidRPr="003E190C">
          <w:rPr>
            <w:rStyle w:val="Hyperlink"/>
            <w:color w:val="auto"/>
            <w:u w:val="none"/>
          </w:rPr>
          <w:t>doi:10.1111/1467-9566.00151</w:t>
        </w:r>
      </w:hyperlink>
    </w:p>
    <w:p w14:paraId="2561188F" w14:textId="77777777" w:rsidR="00AA0CD7" w:rsidRPr="00A25464" w:rsidRDefault="00AA0CD7" w:rsidP="009E1303">
      <w:pPr>
        <w:spacing w:line="480" w:lineRule="auto"/>
        <w:ind w:left="630" w:hanging="630"/>
        <w:rPr>
          <w:rStyle w:val="apple-style-span"/>
          <w:rFonts w:cs="Times New Roman"/>
        </w:rPr>
      </w:pPr>
      <w:r w:rsidRPr="00A25464">
        <w:rPr>
          <w:rFonts w:cs="Times New Roman"/>
          <w:lang w:val="de-DE"/>
        </w:rPr>
        <w:t xml:space="preserve">Dar-Nimrod, I., &amp; Heine, S. J. (2006). </w:t>
      </w:r>
      <w:r w:rsidRPr="00A25464">
        <w:rPr>
          <w:rFonts w:cs="Times New Roman"/>
        </w:rPr>
        <w:t xml:space="preserve">Exposure to scientific theories affects women’s math performance. </w:t>
      </w:r>
      <w:r w:rsidRPr="00A25464">
        <w:rPr>
          <w:rFonts w:cs="Times New Roman"/>
          <w:i/>
        </w:rPr>
        <w:t>Science, 314</w:t>
      </w:r>
      <w:r w:rsidRPr="00A25464">
        <w:rPr>
          <w:rFonts w:cs="Times New Roman"/>
        </w:rPr>
        <w:t xml:space="preserve">, 435. </w:t>
      </w:r>
      <w:r w:rsidRPr="00A25464">
        <w:rPr>
          <w:rStyle w:val="apple-style-span"/>
          <w:rFonts w:cs="Times New Roman"/>
        </w:rPr>
        <w:t>doi:10.1126/science.1131100</w:t>
      </w:r>
    </w:p>
    <w:p w14:paraId="18F7FCB8" w14:textId="77777777" w:rsidR="00AA0CD7" w:rsidRPr="008263EF" w:rsidRDefault="00AA0CD7" w:rsidP="009E1303">
      <w:pPr>
        <w:spacing w:line="480" w:lineRule="auto"/>
        <w:ind w:left="630" w:hanging="630"/>
        <w:rPr>
          <w:rStyle w:val="apple-style-span"/>
          <w:rFonts w:cs="Times New Roman"/>
        </w:rPr>
      </w:pPr>
      <w:r w:rsidRPr="008263EF">
        <w:rPr>
          <w:rFonts w:cs="Times New Roman"/>
        </w:rPr>
        <w:t>Dar-Nimrod, I., &amp; Heine, S. J.  (</w:t>
      </w:r>
      <w:r w:rsidR="008263EF" w:rsidRPr="008263EF">
        <w:rPr>
          <w:rFonts w:cs="Times New Roman"/>
        </w:rPr>
        <w:t>2011</w:t>
      </w:r>
      <w:r w:rsidRPr="008263EF">
        <w:rPr>
          <w:rFonts w:cs="Times New Roman"/>
        </w:rPr>
        <w:t>).</w:t>
      </w:r>
      <w:r w:rsidRPr="008263EF">
        <w:rPr>
          <w:rFonts w:cs="Times New Roman"/>
          <w:b/>
        </w:rPr>
        <w:t xml:space="preserve"> </w:t>
      </w:r>
      <w:r w:rsidRPr="008263EF">
        <w:rPr>
          <w:rFonts w:cs="Times New Roman"/>
        </w:rPr>
        <w:t xml:space="preserve">Genetic essentialism: On the deceptive determinism of DNA. </w:t>
      </w:r>
      <w:r w:rsidRPr="008263EF">
        <w:rPr>
          <w:rFonts w:cs="Times New Roman"/>
          <w:i/>
        </w:rPr>
        <w:t>Psychological Bulletin</w:t>
      </w:r>
      <w:r w:rsidR="008263EF" w:rsidRPr="008263EF">
        <w:rPr>
          <w:rFonts w:cs="Times New Roman"/>
        </w:rPr>
        <w:t xml:space="preserve">, </w:t>
      </w:r>
      <w:r w:rsidR="008263EF" w:rsidRPr="008263EF">
        <w:rPr>
          <w:rFonts w:cs="Times New Roman"/>
          <w:i/>
          <w:iCs/>
          <w:lang w:eastAsia="en-US"/>
        </w:rPr>
        <w:t>137</w:t>
      </w:r>
      <w:r w:rsidR="008263EF" w:rsidRPr="008263EF">
        <w:rPr>
          <w:rFonts w:cs="Times New Roman"/>
          <w:lang w:eastAsia="en-US"/>
        </w:rPr>
        <w:t xml:space="preserve">(5), 829-833. </w:t>
      </w:r>
      <w:r w:rsidRPr="008263EF">
        <w:rPr>
          <w:rStyle w:val="apple-style-span"/>
          <w:rFonts w:cs="Times New Roman"/>
        </w:rPr>
        <w:t>doi:10.1037/a0021860</w:t>
      </w:r>
    </w:p>
    <w:p w14:paraId="7CA6DF5B" w14:textId="77777777" w:rsidR="008263EF" w:rsidRPr="00BF574E" w:rsidRDefault="008263EF" w:rsidP="009E1303">
      <w:pPr>
        <w:spacing w:line="480" w:lineRule="auto"/>
        <w:ind w:left="630" w:hanging="630"/>
        <w:rPr>
          <w:rFonts w:cs="Times New Roman"/>
          <w:lang w:eastAsia="en-US"/>
        </w:rPr>
      </w:pPr>
      <w:r w:rsidRPr="008263EF">
        <w:rPr>
          <w:rFonts w:cs="Times New Roman"/>
          <w:lang w:val="de-DE"/>
        </w:rPr>
        <w:t xml:space="preserve">Dar-Nimrod, I, Heine, S. J., Cheung, B. Y. &amp; Schaller, M. (2011). </w:t>
      </w:r>
      <w:r w:rsidRPr="008263EF">
        <w:rPr>
          <w:rFonts w:cs="Times New Roman"/>
        </w:rPr>
        <w:t xml:space="preserve">Do </w:t>
      </w:r>
      <w:r w:rsidR="00DF0988">
        <w:rPr>
          <w:rFonts w:cs="Times New Roman"/>
        </w:rPr>
        <w:t>s</w:t>
      </w:r>
      <w:r w:rsidR="00DF0988" w:rsidRPr="008263EF">
        <w:rPr>
          <w:rFonts w:cs="Times New Roman"/>
        </w:rPr>
        <w:t xml:space="preserve">cientific </w:t>
      </w:r>
      <w:r w:rsidR="00DF0988">
        <w:rPr>
          <w:rFonts w:cs="Times New Roman"/>
        </w:rPr>
        <w:t>t</w:t>
      </w:r>
      <w:r w:rsidR="00DF0988" w:rsidRPr="008263EF">
        <w:rPr>
          <w:rFonts w:cs="Times New Roman"/>
        </w:rPr>
        <w:t xml:space="preserve">heories </w:t>
      </w:r>
      <w:r w:rsidR="00DF0988">
        <w:rPr>
          <w:rFonts w:cs="Times New Roman"/>
        </w:rPr>
        <w:t>a</w:t>
      </w:r>
      <w:r w:rsidR="00DF0988" w:rsidRPr="008263EF">
        <w:rPr>
          <w:rFonts w:cs="Times New Roman"/>
        </w:rPr>
        <w:t xml:space="preserve">ffect </w:t>
      </w:r>
      <w:r w:rsidR="00DF0988">
        <w:rPr>
          <w:rFonts w:cs="Times New Roman"/>
        </w:rPr>
        <w:t>m</w:t>
      </w:r>
      <w:r w:rsidR="00DF0988" w:rsidRPr="008263EF">
        <w:rPr>
          <w:rFonts w:cs="Times New Roman"/>
        </w:rPr>
        <w:t xml:space="preserve">en’s </w:t>
      </w:r>
      <w:r w:rsidR="00DF0988" w:rsidRPr="00BF574E">
        <w:rPr>
          <w:rFonts w:cs="Times New Roman"/>
        </w:rPr>
        <w:t xml:space="preserve">evaluations </w:t>
      </w:r>
      <w:r w:rsidRPr="00BF574E">
        <w:rPr>
          <w:rFonts w:cs="Times New Roman"/>
        </w:rPr>
        <w:t xml:space="preserve">for </w:t>
      </w:r>
      <w:r w:rsidR="00DF0988" w:rsidRPr="00BF574E">
        <w:rPr>
          <w:rFonts w:cs="Times New Roman"/>
        </w:rPr>
        <w:t>sex crimes</w:t>
      </w:r>
      <w:r w:rsidRPr="00BF574E">
        <w:rPr>
          <w:rFonts w:cs="Times New Roman"/>
        </w:rPr>
        <w:t xml:space="preserve">? </w:t>
      </w:r>
      <w:r w:rsidRPr="00BF574E">
        <w:rPr>
          <w:rFonts w:cs="Times New Roman"/>
          <w:i/>
        </w:rPr>
        <w:t>Aggressive Behavior</w:t>
      </w:r>
      <w:r w:rsidRPr="00BF574E">
        <w:rPr>
          <w:rFonts w:cs="Times New Roman"/>
        </w:rPr>
        <w:t xml:space="preserve">, </w:t>
      </w:r>
      <w:r w:rsidRPr="00BF574E">
        <w:rPr>
          <w:rFonts w:cs="Times New Roman"/>
          <w:i/>
          <w:iCs/>
          <w:lang w:eastAsia="en-US"/>
        </w:rPr>
        <w:t>37</w:t>
      </w:r>
      <w:r w:rsidRPr="00BF574E">
        <w:rPr>
          <w:rFonts w:cs="Times New Roman"/>
          <w:lang w:eastAsia="en-US"/>
        </w:rPr>
        <w:t xml:space="preserve">(5), 440-449. </w:t>
      </w:r>
      <w:r w:rsidR="00DF0988" w:rsidRPr="00BF574E">
        <w:rPr>
          <w:rFonts w:cs="Times New Roman"/>
          <w:bCs/>
          <w:color w:val="545454"/>
          <w:shd w:val="clear" w:color="auto" w:fill="FFFFFF"/>
        </w:rPr>
        <w:t>doi</w:t>
      </w:r>
      <w:r w:rsidR="00DF0988" w:rsidRPr="00BF574E">
        <w:rPr>
          <w:rFonts w:cs="Times New Roman"/>
          <w:color w:val="545454"/>
          <w:shd w:val="clear" w:color="auto" w:fill="FFFFFF"/>
        </w:rPr>
        <w:t>: 10.1002/ab.20401</w:t>
      </w:r>
    </w:p>
    <w:p w14:paraId="28D38EF6" w14:textId="77777777" w:rsidR="00BF574E" w:rsidRPr="00BF574E" w:rsidRDefault="00BF574E" w:rsidP="009E1303">
      <w:pPr>
        <w:spacing w:line="480" w:lineRule="auto"/>
        <w:ind w:left="630" w:hanging="630"/>
        <w:rPr>
          <w:rFonts w:cs="Times New Roman"/>
        </w:rPr>
      </w:pPr>
      <w:r w:rsidRPr="008F5E5C">
        <w:rPr>
          <w:rFonts w:cs="Times New Roman"/>
          <w:lang w:val="pt-BR"/>
        </w:rPr>
        <w:t>Dar-Nimrod, I.,</w:t>
      </w:r>
      <w:r w:rsidRPr="00BF574E">
        <w:rPr>
          <w:rFonts w:cs="Times New Roman"/>
          <w:lang w:val="pt-BR"/>
        </w:rPr>
        <w:t xml:space="preserve"> &amp; </w:t>
      </w:r>
      <w:r w:rsidRPr="00BF574E">
        <w:rPr>
          <w:rFonts w:cs="Times New Roman"/>
          <w:bCs/>
          <w:lang w:val="pt-BR"/>
        </w:rPr>
        <w:t>Lisandrelli, G. (2012).</w:t>
      </w:r>
      <w:r w:rsidRPr="00BF574E">
        <w:rPr>
          <w:rFonts w:cs="Times New Roman"/>
          <w:lang w:val="pt-BR"/>
        </w:rPr>
        <w:t xml:space="preserve"> </w:t>
      </w:r>
      <w:r w:rsidRPr="00BF574E">
        <w:rPr>
          <w:rFonts w:cs="Times New Roman"/>
        </w:rPr>
        <w:t xml:space="preserve">It's in </w:t>
      </w:r>
      <w:r w:rsidR="008F5E5C">
        <w:rPr>
          <w:rFonts w:cs="Times New Roman"/>
        </w:rPr>
        <w:t>m</w:t>
      </w:r>
      <w:r w:rsidRPr="00BF574E">
        <w:rPr>
          <w:rFonts w:cs="Times New Roman"/>
        </w:rPr>
        <w:t xml:space="preserve">y </w:t>
      </w:r>
      <w:r w:rsidR="008F5E5C">
        <w:rPr>
          <w:rFonts w:cs="Times New Roman"/>
        </w:rPr>
        <w:t>g</w:t>
      </w:r>
      <w:r w:rsidRPr="00BF574E">
        <w:rPr>
          <w:rFonts w:cs="Times New Roman"/>
        </w:rPr>
        <w:t xml:space="preserve">enes: Causal </w:t>
      </w:r>
      <w:r w:rsidR="008F5E5C">
        <w:rPr>
          <w:rFonts w:cs="Times New Roman"/>
        </w:rPr>
        <w:t>a</w:t>
      </w:r>
      <w:r w:rsidRPr="00BF574E">
        <w:rPr>
          <w:rFonts w:cs="Times New Roman"/>
        </w:rPr>
        <w:t xml:space="preserve">ttributions and </w:t>
      </w:r>
      <w:r w:rsidR="008F5E5C">
        <w:rPr>
          <w:rFonts w:cs="Times New Roman"/>
        </w:rPr>
        <w:t>p</w:t>
      </w:r>
      <w:r w:rsidRPr="00BF574E">
        <w:rPr>
          <w:rFonts w:cs="Times New Roman"/>
        </w:rPr>
        <w:t xml:space="preserve">erceptions of </w:t>
      </w:r>
      <w:r w:rsidR="008F5E5C">
        <w:rPr>
          <w:rFonts w:cs="Times New Roman"/>
        </w:rPr>
        <w:t>c</w:t>
      </w:r>
      <w:r w:rsidRPr="00BF574E">
        <w:rPr>
          <w:rFonts w:cs="Times New Roman"/>
        </w:rPr>
        <w:t xml:space="preserve">hoice. In Columbus A. M. (ed.) </w:t>
      </w:r>
      <w:r w:rsidRPr="00BF574E">
        <w:rPr>
          <w:rFonts w:cs="Times New Roman"/>
          <w:i/>
        </w:rPr>
        <w:t>Advances in Psychology Research (Volume 95)</w:t>
      </w:r>
      <w:r w:rsidRPr="00BF574E">
        <w:rPr>
          <w:rFonts w:cs="Times New Roman"/>
        </w:rPr>
        <w:t xml:space="preserve">, pp. 187-198. Nova Science Publishers. </w:t>
      </w:r>
    </w:p>
    <w:p w14:paraId="5720323B" w14:textId="77777777" w:rsidR="008263EF" w:rsidRPr="008263EF" w:rsidRDefault="008263EF" w:rsidP="009E1303">
      <w:pPr>
        <w:spacing w:line="480" w:lineRule="auto"/>
        <w:ind w:left="630" w:hanging="630"/>
        <w:rPr>
          <w:rFonts w:cs="Times New Roman"/>
        </w:rPr>
      </w:pPr>
      <w:r w:rsidRPr="00BF574E">
        <w:rPr>
          <w:rFonts w:cs="Times New Roman"/>
          <w:lang w:val="de-DE"/>
        </w:rPr>
        <w:t>Dar-Nimrod, I., Zuckerman, M., &amp; Duberstein, P. R. (2013).</w:t>
      </w:r>
      <w:r w:rsidRPr="00BF574E">
        <w:rPr>
          <w:rFonts w:cs="Times New Roman"/>
          <w:lang w:val="de-DE" w:eastAsia="en-US"/>
        </w:rPr>
        <w:t xml:space="preserve"> </w:t>
      </w:r>
      <w:r w:rsidRPr="00BF574E">
        <w:rPr>
          <w:rFonts w:cs="Times New Roman"/>
        </w:rPr>
        <w:t xml:space="preserve">The </w:t>
      </w:r>
      <w:r w:rsidR="00C60AA8">
        <w:rPr>
          <w:rFonts w:cs="Times New Roman"/>
        </w:rPr>
        <w:t>e</w:t>
      </w:r>
      <w:r w:rsidR="00C60AA8" w:rsidRPr="00BF574E">
        <w:rPr>
          <w:rFonts w:cs="Times New Roman"/>
        </w:rPr>
        <w:t>ffects</w:t>
      </w:r>
      <w:r w:rsidRPr="00BF574E">
        <w:rPr>
          <w:rFonts w:cs="Times New Roman"/>
        </w:rPr>
        <w:t xml:space="preserve"> of </w:t>
      </w:r>
      <w:r w:rsidR="008F5E5C">
        <w:rPr>
          <w:rFonts w:cs="Times New Roman"/>
        </w:rPr>
        <w:t>l</w:t>
      </w:r>
      <w:r w:rsidRPr="00BF574E">
        <w:rPr>
          <w:rFonts w:cs="Times New Roman"/>
        </w:rPr>
        <w:t xml:space="preserve">earning about </w:t>
      </w:r>
      <w:r w:rsidR="008F5E5C">
        <w:rPr>
          <w:rFonts w:cs="Times New Roman"/>
        </w:rPr>
        <w:t>o</w:t>
      </w:r>
      <w:r w:rsidRPr="00BF574E">
        <w:rPr>
          <w:rFonts w:cs="Times New Roman"/>
        </w:rPr>
        <w:t xml:space="preserve">ne’s </w:t>
      </w:r>
      <w:r w:rsidR="008F5E5C">
        <w:rPr>
          <w:rFonts w:cs="Times New Roman"/>
        </w:rPr>
        <w:t>o</w:t>
      </w:r>
      <w:r w:rsidRPr="00BF574E">
        <w:rPr>
          <w:rFonts w:cs="Times New Roman"/>
        </w:rPr>
        <w:t xml:space="preserve">wn </w:t>
      </w:r>
      <w:r w:rsidR="008F5E5C">
        <w:rPr>
          <w:rFonts w:cs="Times New Roman"/>
        </w:rPr>
        <w:t>g</w:t>
      </w:r>
      <w:r w:rsidRPr="00BF574E">
        <w:rPr>
          <w:rFonts w:cs="Times New Roman"/>
        </w:rPr>
        <w:t xml:space="preserve">enetic </w:t>
      </w:r>
      <w:r w:rsidR="008F5E5C">
        <w:rPr>
          <w:rFonts w:cs="Times New Roman"/>
        </w:rPr>
        <w:t>s</w:t>
      </w:r>
      <w:r w:rsidRPr="00BF574E">
        <w:rPr>
          <w:rFonts w:cs="Times New Roman"/>
        </w:rPr>
        <w:t>usceptibility</w:t>
      </w:r>
      <w:r w:rsidRPr="008263EF">
        <w:rPr>
          <w:rFonts w:cs="Times New Roman"/>
        </w:rPr>
        <w:t xml:space="preserve"> to </w:t>
      </w:r>
      <w:r w:rsidR="008F5E5C">
        <w:rPr>
          <w:rFonts w:cs="Times New Roman"/>
        </w:rPr>
        <w:t>a</w:t>
      </w:r>
      <w:r w:rsidRPr="008263EF">
        <w:rPr>
          <w:rFonts w:cs="Times New Roman"/>
        </w:rPr>
        <w:t xml:space="preserve">lcoholism: A </w:t>
      </w:r>
      <w:r w:rsidR="008F5E5C">
        <w:rPr>
          <w:rFonts w:cs="Times New Roman"/>
        </w:rPr>
        <w:t>r</w:t>
      </w:r>
      <w:r w:rsidRPr="008263EF">
        <w:rPr>
          <w:rFonts w:cs="Times New Roman"/>
        </w:rPr>
        <w:t xml:space="preserve">andomized </w:t>
      </w:r>
      <w:r w:rsidR="008F5E5C">
        <w:rPr>
          <w:rFonts w:cs="Times New Roman"/>
        </w:rPr>
        <w:t>e</w:t>
      </w:r>
      <w:r w:rsidRPr="008263EF">
        <w:rPr>
          <w:rFonts w:cs="Times New Roman"/>
        </w:rPr>
        <w:t xml:space="preserve">xperiment. </w:t>
      </w:r>
      <w:r w:rsidRPr="008263EF">
        <w:rPr>
          <w:rFonts w:cs="Times New Roman"/>
          <w:i/>
        </w:rPr>
        <w:t>Genetics in Medicine,</w:t>
      </w:r>
      <w:r w:rsidRPr="008263EF">
        <w:rPr>
          <w:rFonts w:cs="Times New Roman"/>
          <w:b/>
          <w:i/>
        </w:rPr>
        <w:t xml:space="preserve"> </w:t>
      </w:r>
      <w:r w:rsidRPr="008263EF">
        <w:rPr>
          <w:rFonts w:cs="Times New Roman"/>
        </w:rPr>
        <w:t>15(2), 132-138</w:t>
      </w:r>
      <w:r w:rsidRPr="00DF0988">
        <w:rPr>
          <w:rFonts w:cs="Times New Roman"/>
        </w:rPr>
        <w:t>.</w:t>
      </w:r>
      <w:r w:rsidR="00DF0988" w:rsidRPr="00DF0988">
        <w:rPr>
          <w:rFonts w:cs="Times New Roman"/>
        </w:rPr>
        <w:t xml:space="preserve"> </w:t>
      </w:r>
      <w:r w:rsidR="00DF0988" w:rsidRPr="000402C9">
        <w:rPr>
          <w:rFonts w:cs="Times New Roman"/>
          <w:bCs/>
          <w:color w:val="545454"/>
          <w:shd w:val="clear" w:color="auto" w:fill="FFFFFF"/>
        </w:rPr>
        <w:t>doi</w:t>
      </w:r>
      <w:r w:rsidR="00DF0988" w:rsidRPr="000402C9">
        <w:rPr>
          <w:rFonts w:cs="Times New Roman"/>
          <w:color w:val="545454"/>
          <w:shd w:val="clear" w:color="auto" w:fill="FFFFFF"/>
        </w:rPr>
        <w:t>: 10.1038/gim.2012.111</w:t>
      </w:r>
    </w:p>
    <w:p w14:paraId="0933EA7D" w14:textId="77777777" w:rsidR="002117EF" w:rsidRDefault="003F2205" w:rsidP="009E1303">
      <w:pPr>
        <w:spacing w:line="480" w:lineRule="auto"/>
        <w:ind w:left="630" w:hanging="630"/>
        <w:rPr>
          <w:rFonts w:cs="Times New Roman"/>
        </w:rPr>
      </w:pPr>
      <w:r>
        <w:rPr>
          <w:rFonts w:cs="Times New Roman"/>
        </w:rPr>
        <w:t>Dev</w:t>
      </w:r>
      <w:r w:rsidR="002117EF">
        <w:rPr>
          <w:rFonts w:cs="Times New Roman"/>
        </w:rPr>
        <w:t xml:space="preserve">lin, H. (2013, October 8). Why obesity might be blamed on faulty genes. </w:t>
      </w:r>
      <w:r w:rsidR="002117EF" w:rsidRPr="00A25464">
        <w:rPr>
          <w:rFonts w:cs="Times New Roman"/>
        </w:rPr>
        <w:t xml:space="preserve">Retrieved on </w:t>
      </w:r>
      <w:r w:rsidR="002117EF">
        <w:rPr>
          <w:rFonts w:cs="Times New Roman"/>
        </w:rPr>
        <w:t>November</w:t>
      </w:r>
      <w:r w:rsidR="002117EF" w:rsidRPr="00A25464">
        <w:rPr>
          <w:rFonts w:cs="Times New Roman"/>
        </w:rPr>
        <w:t xml:space="preserve"> 4, 201</w:t>
      </w:r>
      <w:r w:rsidR="002117EF">
        <w:rPr>
          <w:rFonts w:cs="Times New Roman"/>
        </w:rPr>
        <w:t>3</w:t>
      </w:r>
      <w:r w:rsidR="002117EF" w:rsidRPr="00A25464">
        <w:rPr>
          <w:rFonts w:cs="Times New Roman"/>
        </w:rPr>
        <w:t xml:space="preserve"> from</w:t>
      </w:r>
      <w:r w:rsidR="002117EF">
        <w:rPr>
          <w:rFonts w:cs="Times New Roman"/>
        </w:rPr>
        <w:t>:</w:t>
      </w:r>
      <w:r w:rsidR="002117EF" w:rsidRPr="003E190C">
        <w:rPr>
          <w:rFonts w:cs="Times New Roman"/>
        </w:rPr>
        <w:t xml:space="preserve"> </w:t>
      </w:r>
      <w:r w:rsidR="002117EF" w:rsidRPr="00A96E3D">
        <w:t>http://www.thetimes.co.uk/tto/science/article3904063.ece?CMP=OTH-gnws-standard-2013_10_24</w:t>
      </w:r>
    </w:p>
    <w:p w14:paraId="27B763DA" w14:textId="77777777" w:rsidR="00AA0CD7" w:rsidRPr="00A25464" w:rsidRDefault="00AA0CD7" w:rsidP="009E1303">
      <w:pPr>
        <w:spacing w:line="480" w:lineRule="auto"/>
        <w:ind w:left="630" w:hanging="630"/>
        <w:rPr>
          <w:rStyle w:val="apple-style-span"/>
          <w:rFonts w:cs="Times New Roman"/>
        </w:rPr>
      </w:pPr>
      <w:r w:rsidRPr="008263EF">
        <w:rPr>
          <w:rFonts w:cs="Times New Roman"/>
        </w:rPr>
        <w:t>Flegal, K. M., Caroll, M. D., Ogden</w:t>
      </w:r>
      <w:r w:rsidRPr="00A25464">
        <w:rPr>
          <w:rFonts w:cs="Times New Roman"/>
        </w:rPr>
        <w:t xml:space="preserve">, C. L., &amp; Curtin, L. R. (2010). Prevalence and trends in obesity among US adults, 1999-2008. </w:t>
      </w:r>
      <w:r w:rsidRPr="00A25464">
        <w:rPr>
          <w:rFonts w:cs="Times New Roman"/>
          <w:i/>
        </w:rPr>
        <w:t>Journal of the American Medical Association,</w:t>
      </w:r>
      <w:r w:rsidRPr="00A25464">
        <w:rPr>
          <w:rFonts w:cs="Times New Roman"/>
        </w:rPr>
        <w:t xml:space="preserve"> </w:t>
      </w:r>
      <w:r w:rsidRPr="00A25464">
        <w:rPr>
          <w:rFonts w:cs="Times New Roman"/>
          <w:i/>
        </w:rPr>
        <w:t>303</w:t>
      </w:r>
      <w:r w:rsidRPr="00A25464">
        <w:rPr>
          <w:rFonts w:cs="Times New Roman"/>
        </w:rPr>
        <w:t xml:space="preserve">, 235-241. </w:t>
      </w:r>
      <w:hyperlink r:id="rId17" w:anchor="_blank" w:history="1">
        <w:r w:rsidRPr="003E190C">
          <w:rPr>
            <w:rStyle w:val="Hyperlink"/>
            <w:color w:val="auto"/>
            <w:u w:val="none"/>
          </w:rPr>
          <w:t>doi:10.1001/jama.2009.2014</w:t>
        </w:r>
      </w:hyperlink>
    </w:p>
    <w:p w14:paraId="417E5CA4" w14:textId="77777777" w:rsidR="00AA0CD7" w:rsidRPr="00A25464" w:rsidRDefault="00AA0CD7" w:rsidP="009E1303">
      <w:pPr>
        <w:spacing w:line="480" w:lineRule="auto"/>
        <w:ind w:left="630" w:hanging="630"/>
        <w:rPr>
          <w:rFonts w:cs="Times New Roman"/>
        </w:rPr>
      </w:pPr>
      <w:r w:rsidRPr="00A25464">
        <w:rPr>
          <w:rStyle w:val="apple-style-span"/>
          <w:rFonts w:cs="Times New Roman"/>
        </w:rPr>
        <w:t>Frayling, T., Timpson, N., Weedon, M., Zeggini, E., Freathy, R., Lindgren, C., &amp; ... McCarthy, M. (2007). A common variant in the FTO gene is associated with body mass index and predisposes to childhood and adult obesity.</w:t>
      </w:r>
      <w:r w:rsidRPr="00A25464">
        <w:rPr>
          <w:rStyle w:val="apple-converted-space"/>
          <w:rFonts w:cs="Times New Roman"/>
        </w:rPr>
        <w:t> </w:t>
      </w:r>
      <w:r w:rsidRPr="00A25464">
        <w:rPr>
          <w:rStyle w:val="apple-style-span"/>
          <w:rFonts w:cs="Times New Roman"/>
          <w:i/>
          <w:iCs/>
        </w:rPr>
        <w:t>Science</w:t>
      </w:r>
      <w:r w:rsidRPr="00A25464">
        <w:rPr>
          <w:rStyle w:val="apple-style-span"/>
          <w:rFonts w:cs="Times New Roman"/>
        </w:rPr>
        <w:t xml:space="preserve">, </w:t>
      </w:r>
      <w:r w:rsidRPr="00A25464">
        <w:rPr>
          <w:rStyle w:val="apple-style-span"/>
          <w:rFonts w:cs="Times New Roman"/>
          <w:i/>
        </w:rPr>
        <w:t>316</w:t>
      </w:r>
      <w:r w:rsidRPr="00A25464">
        <w:rPr>
          <w:rStyle w:val="apple-style-span"/>
          <w:rFonts w:cs="Times New Roman"/>
        </w:rPr>
        <w:t>, 889-894.</w:t>
      </w:r>
      <w:r w:rsidRPr="00A25464">
        <w:rPr>
          <w:rFonts w:cs="Times New Roman"/>
        </w:rPr>
        <w:t xml:space="preserve"> </w:t>
      </w:r>
      <w:r w:rsidRPr="00CA7C31">
        <w:t>doi:10.1126/science.1141634</w:t>
      </w:r>
    </w:p>
    <w:p w14:paraId="27B4CD21" w14:textId="77777777" w:rsidR="00AA0CD7" w:rsidRPr="00A25464" w:rsidRDefault="00AA0CD7" w:rsidP="009E1303">
      <w:pPr>
        <w:spacing w:line="480" w:lineRule="auto"/>
        <w:ind w:left="630" w:hanging="630"/>
        <w:rPr>
          <w:rFonts w:eastAsia="Times New Roman" w:cs="Times New Roman"/>
          <w:lang w:eastAsia="ar-SA" w:bidi="ar-SA"/>
        </w:rPr>
      </w:pPr>
      <w:r w:rsidRPr="00A25464">
        <w:rPr>
          <w:rFonts w:cs="Times New Roman"/>
        </w:rPr>
        <w:t xml:space="preserve">Frosch, D. L., Mello, P., &amp; Lerman, C. (2005). Behavioral consequences of testing for obesity risk. </w:t>
      </w:r>
      <w:r w:rsidRPr="00A25464">
        <w:rPr>
          <w:rFonts w:cs="Times New Roman"/>
          <w:i/>
        </w:rPr>
        <w:t>Cancer Epidemiology, Biomarkers, &amp; Prevention, 14</w:t>
      </w:r>
      <w:r w:rsidRPr="00A25464">
        <w:rPr>
          <w:rFonts w:cs="Times New Roman"/>
        </w:rPr>
        <w:t xml:space="preserve">, 1485-1489. </w:t>
      </w:r>
      <w:r w:rsidRPr="00A25464">
        <w:rPr>
          <w:rFonts w:eastAsia="Times New Roman" w:cs="Times New Roman"/>
          <w:lang w:eastAsia="ar-SA" w:bidi="ar-SA"/>
        </w:rPr>
        <w:t>doi:10.1158/1055-9965.EPI-04-0913</w:t>
      </w:r>
    </w:p>
    <w:p w14:paraId="5E2E44C0" w14:textId="77777777" w:rsidR="00D46FF1" w:rsidRDefault="00D46FF1" w:rsidP="009E1303">
      <w:pPr>
        <w:autoSpaceDE w:val="0"/>
        <w:spacing w:line="480" w:lineRule="auto"/>
        <w:ind w:left="630" w:hanging="630"/>
        <w:rPr>
          <w:rFonts w:cs="Times New Roman"/>
        </w:rPr>
      </w:pPr>
      <w:r>
        <w:rPr>
          <w:rStyle w:val="apple-style-span"/>
          <w:rFonts w:cs="Times New Roman"/>
        </w:rPr>
        <w:t>Fujisawa, T., Ikegami, H., Kawaguchi, Y., &amp; Ogihara, T. (1998). Meta-analysis of the association of Trp</w:t>
      </w:r>
      <w:r w:rsidRPr="0060213D">
        <w:rPr>
          <w:rStyle w:val="apple-style-span"/>
          <w:rFonts w:cs="Times New Roman"/>
          <w:vertAlign w:val="superscript"/>
        </w:rPr>
        <w:t>64</w:t>
      </w:r>
      <w:r>
        <w:rPr>
          <w:rStyle w:val="apple-style-span"/>
          <w:rFonts w:cs="Times New Roman"/>
        </w:rPr>
        <w:t xml:space="preserve">Arg polymorphism of </w:t>
      </w:r>
      <w:r w:rsidRPr="0060213D">
        <w:rPr>
          <w:rFonts w:cs="Times New Roman"/>
        </w:rPr>
        <w:t>β</w:t>
      </w:r>
      <w:r w:rsidRPr="0060213D">
        <w:rPr>
          <w:rFonts w:cs="Times New Roman"/>
          <w:vertAlign w:val="subscript"/>
        </w:rPr>
        <w:t>3</w:t>
      </w:r>
      <w:r>
        <w:rPr>
          <w:rFonts w:cs="Times New Roman"/>
        </w:rPr>
        <w:t xml:space="preserve">-Adrenergic receptor gene with body mass index. </w:t>
      </w:r>
      <w:r w:rsidRPr="0060213D">
        <w:rPr>
          <w:rFonts w:cs="Times New Roman"/>
          <w:i/>
        </w:rPr>
        <w:t>The Journal of Clinical Endocrinology &amp; Metabolism, 83</w:t>
      </w:r>
      <w:r>
        <w:rPr>
          <w:rFonts w:cs="Times New Roman"/>
        </w:rPr>
        <w:t>, 2441-2444.</w:t>
      </w:r>
    </w:p>
    <w:p w14:paraId="30106AD1" w14:textId="77777777" w:rsidR="00B555B3" w:rsidRPr="00B555B3" w:rsidRDefault="00B555B3" w:rsidP="009E1303">
      <w:pPr>
        <w:autoSpaceDE w:val="0"/>
        <w:spacing w:line="480" w:lineRule="auto"/>
        <w:ind w:left="630" w:hanging="630"/>
        <w:rPr>
          <w:rStyle w:val="apple-style-span"/>
          <w:rFonts w:cs="Times New Roman"/>
        </w:rPr>
      </w:pPr>
      <w:r w:rsidRPr="00B555B3">
        <w:rPr>
          <w:rFonts w:cs="Times New Roman"/>
          <w:color w:val="222222"/>
          <w:shd w:val="clear" w:color="auto" w:fill="FFFFFF"/>
        </w:rPr>
        <w:t>Haldar, S. M., Jeyaraj, D., Anand, P., Zhu, H., Lu, Y., Prosdocimo, D. A., ... &amp; Jain, M. K. (2012). Kruppel-like factor 15 regulates skeletal muscle lipid flux and exercise adaptation.</w:t>
      </w:r>
      <w:r w:rsidRPr="00B555B3">
        <w:rPr>
          <w:rStyle w:val="apple-converted-space"/>
          <w:rFonts w:cs="Times New Roman"/>
          <w:color w:val="222222"/>
          <w:shd w:val="clear" w:color="auto" w:fill="FFFFFF"/>
        </w:rPr>
        <w:t> </w:t>
      </w:r>
      <w:r w:rsidRPr="00B555B3">
        <w:rPr>
          <w:rFonts w:cs="Times New Roman"/>
          <w:i/>
          <w:iCs/>
          <w:color w:val="222222"/>
          <w:shd w:val="clear" w:color="auto" w:fill="FFFFFF"/>
        </w:rPr>
        <w:t>Proceedings of the National Academy of Sciences</w:t>
      </w:r>
      <w:r w:rsidRPr="00B555B3">
        <w:rPr>
          <w:rFonts w:cs="Times New Roman"/>
          <w:color w:val="222222"/>
          <w:shd w:val="clear" w:color="auto" w:fill="FFFFFF"/>
        </w:rPr>
        <w:t>,</w:t>
      </w:r>
      <w:r w:rsidRPr="00B555B3">
        <w:rPr>
          <w:rFonts w:cs="Times New Roman"/>
          <w:i/>
          <w:iCs/>
          <w:color w:val="222222"/>
          <w:shd w:val="clear" w:color="auto" w:fill="FFFFFF"/>
        </w:rPr>
        <w:t>109</w:t>
      </w:r>
      <w:r w:rsidRPr="00B555B3">
        <w:rPr>
          <w:rFonts w:cs="Times New Roman"/>
          <w:color w:val="222222"/>
          <w:shd w:val="clear" w:color="auto" w:fill="FFFFFF"/>
        </w:rPr>
        <w:t>(17), 6739-6744.</w:t>
      </w:r>
      <w:r w:rsidRPr="00B555B3">
        <w:rPr>
          <w:rStyle w:val="apple-style-span"/>
          <w:rFonts w:cs="Times New Roman"/>
        </w:rPr>
        <w:t xml:space="preserve"> </w:t>
      </w:r>
    </w:p>
    <w:p w14:paraId="00DEB171" w14:textId="77777777" w:rsidR="00AA0CD7" w:rsidRDefault="00AA0CD7" w:rsidP="009E1303">
      <w:pPr>
        <w:autoSpaceDE w:val="0"/>
        <w:spacing w:line="480" w:lineRule="auto"/>
        <w:ind w:left="630" w:hanging="630"/>
      </w:pPr>
      <w:r w:rsidRPr="00B555B3">
        <w:rPr>
          <w:rStyle w:val="apple-style-span"/>
          <w:rFonts w:cs="Times New Roman"/>
        </w:rPr>
        <w:t>Harvey-Berino, J., Gold, E., West</w:t>
      </w:r>
      <w:r w:rsidRPr="00A25464">
        <w:rPr>
          <w:rStyle w:val="apple-style-span"/>
          <w:rFonts w:cs="Times New Roman"/>
        </w:rPr>
        <w:t xml:space="preserve">, D., Shuldiner, A., Walston, J., Starling, R., &amp; ... Poehlman, E. (2001). Does genetic testing for obesity influence confidence in the ability to lose weight? A pilot investigation. </w:t>
      </w:r>
      <w:r w:rsidRPr="00A25464">
        <w:rPr>
          <w:rStyle w:val="apple-style-span"/>
          <w:rFonts w:cs="Times New Roman"/>
          <w:i/>
          <w:iCs/>
        </w:rPr>
        <w:t>Journal of the American Dietetic Association</w:t>
      </w:r>
      <w:r w:rsidRPr="00A25464">
        <w:rPr>
          <w:rStyle w:val="apple-style-span"/>
          <w:rFonts w:cs="Times New Roman"/>
        </w:rPr>
        <w:t xml:space="preserve">, </w:t>
      </w:r>
      <w:r w:rsidRPr="00A25464">
        <w:rPr>
          <w:rStyle w:val="apple-style-span"/>
          <w:rFonts w:cs="Times New Roman"/>
          <w:i/>
        </w:rPr>
        <w:t>101</w:t>
      </w:r>
      <w:r w:rsidRPr="00A25464">
        <w:rPr>
          <w:rStyle w:val="apple-style-span"/>
          <w:rFonts w:cs="Times New Roman"/>
        </w:rPr>
        <w:t>, 1351-1353.</w:t>
      </w:r>
      <w:r w:rsidRPr="00A25464">
        <w:rPr>
          <w:rFonts w:cs="Times New Roman"/>
        </w:rPr>
        <w:t xml:space="preserve"> </w:t>
      </w:r>
      <w:hyperlink r:id="rId18" w:anchor="_blank" w:history="1">
        <w:r w:rsidRPr="003E190C">
          <w:rPr>
            <w:rStyle w:val="Hyperlink"/>
            <w:color w:val="auto"/>
            <w:u w:val="none"/>
          </w:rPr>
          <w:t>doi:10.1016/S0002-8223(01)00323-6</w:t>
        </w:r>
      </w:hyperlink>
    </w:p>
    <w:p w14:paraId="7A49E389" w14:textId="77777777" w:rsidR="003C59ED" w:rsidRDefault="003C59ED" w:rsidP="009E1303">
      <w:pPr>
        <w:autoSpaceDE w:val="0"/>
        <w:spacing w:line="480" w:lineRule="auto"/>
        <w:ind w:left="630" w:hanging="630"/>
      </w:pPr>
      <w:r>
        <w:t xml:space="preserve">Hoyt, C. L., Burnette, J. L., &amp; Auster-Gussman, L. (in press). “Obesity is a disease.” Examining the self-regulatory impact of this public-health message. </w:t>
      </w:r>
      <w:r>
        <w:rPr>
          <w:i/>
        </w:rPr>
        <w:t>Psychological Science.</w:t>
      </w:r>
      <w:r>
        <w:t xml:space="preserve"> </w:t>
      </w:r>
    </w:p>
    <w:p w14:paraId="7FAAF468" w14:textId="77777777" w:rsidR="003C59ED" w:rsidRPr="003C59ED" w:rsidRDefault="003C59ED" w:rsidP="009E1303">
      <w:pPr>
        <w:autoSpaceDE w:val="0"/>
        <w:spacing w:line="480" w:lineRule="auto"/>
        <w:ind w:left="630"/>
        <w:rPr>
          <w:rFonts w:cs="Times New Roman"/>
        </w:rPr>
      </w:pPr>
      <w:r>
        <w:t xml:space="preserve">doi: </w:t>
      </w:r>
      <w:r w:rsidRPr="003C59ED">
        <w:t>10.1177/0956797613516981</w:t>
      </w:r>
    </w:p>
    <w:p w14:paraId="5C6F25E7" w14:textId="77777777" w:rsidR="00AA0CD7" w:rsidRPr="00A25464" w:rsidRDefault="00AA0CD7" w:rsidP="009E1303">
      <w:pPr>
        <w:spacing w:line="480" w:lineRule="auto"/>
        <w:ind w:left="630" w:hanging="630"/>
        <w:rPr>
          <w:rFonts w:cs="Times New Roman"/>
        </w:rPr>
      </w:pPr>
      <w:r w:rsidRPr="00A25464">
        <w:rPr>
          <w:rFonts w:cs="Times New Roman"/>
        </w:rPr>
        <w:t>Kolata, G. (2007, May 8). Genes take charge, and diets fall to the wayside. New York Times, Health. Retrieved on January 4, 2010 from</w:t>
      </w:r>
      <w:r w:rsidR="003E190C">
        <w:rPr>
          <w:rFonts w:cs="Times New Roman"/>
        </w:rPr>
        <w:t>:</w:t>
      </w:r>
      <w:r w:rsidRPr="003E190C">
        <w:rPr>
          <w:rFonts w:cs="Times New Roman"/>
        </w:rPr>
        <w:t xml:space="preserve"> </w:t>
      </w:r>
      <w:hyperlink r:id="rId19" w:history="1">
        <w:r w:rsidRPr="003E190C">
          <w:rPr>
            <w:rStyle w:val="Hyperlink"/>
            <w:color w:val="auto"/>
            <w:u w:val="none"/>
          </w:rPr>
          <w:t>http://www.nytimes.com/2007/05/08/health/08fat.html?_r=1</w:t>
        </w:r>
      </w:hyperlink>
    </w:p>
    <w:p w14:paraId="2F0DECF4" w14:textId="77777777" w:rsidR="001D46A8" w:rsidRDefault="001D46A8" w:rsidP="009E1303">
      <w:pPr>
        <w:autoSpaceDE w:val="0"/>
        <w:spacing w:line="480" w:lineRule="auto"/>
        <w:ind w:left="630" w:hanging="630"/>
        <w:rPr>
          <w:rStyle w:val="apple-style-span"/>
          <w:rFonts w:cs="Times New Roman"/>
        </w:rPr>
      </w:pPr>
      <w:r>
        <w:rPr>
          <w:rStyle w:val="apple-style-span"/>
          <w:rFonts w:cs="Times New Roman"/>
        </w:rPr>
        <w:t xml:space="preserve">McFerran, B., &amp; Mukhopadhyay, A. (2013). Lay theories of obesity predict actual body mass. </w:t>
      </w:r>
      <w:r w:rsidRPr="0060213D">
        <w:rPr>
          <w:rStyle w:val="apple-style-span"/>
          <w:rFonts w:cs="Times New Roman"/>
          <w:i/>
        </w:rPr>
        <w:t>Psychological Science</w:t>
      </w:r>
      <w:r>
        <w:rPr>
          <w:rStyle w:val="apple-style-span"/>
          <w:rFonts w:cs="Times New Roman"/>
          <w:i/>
        </w:rPr>
        <w:t>, 24</w:t>
      </w:r>
      <w:r>
        <w:rPr>
          <w:rStyle w:val="apple-style-span"/>
          <w:rFonts w:cs="Times New Roman"/>
        </w:rPr>
        <w:t>, 1428-1436.</w:t>
      </w:r>
    </w:p>
    <w:p w14:paraId="444824E8" w14:textId="77777777" w:rsidR="00AA0CD7" w:rsidRDefault="00AA0CD7" w:rsidP="009E1303">
      <w:pPr>
        <w:autoSpaceDE w:val="0"/>
        <w:spacing w:line="480" w:lineRule="auto"/>
        <w:ind w:left="630" w:hanging="630"/>
        <w:rPr>
          <w:rStyle w:val="apple-style-span"/>
          <w:rFonts w:cs="Times New Roman"/>
        </w:rPr>
      </w:pPr>
      <w:r w:rsidRPr="00A25464">
        <w:rPr>
          <w:rStyle w:val="apple-style-span"/>
          <w:rFonts w:cs="Times New Roman"/>
        </w:rPr>
        <w:t>Moè, A., &amp; Pazzaglia, F. (2010). Beyond genetics in mental rotation test performance: The power of effort attribution.</w:t>
      </w:r>
      <w:r w:rsidRPr="00A25464">
        <w:rPr>
          <w:rStyle w:val="apple-converted-space"/>
          <w:rFonts w:cs="Times New Roman"/>
        </w:rPr>
        <w:t> </w:t>
      </w:r>
      <w:r w:rsidRPr="00A25464">
        <w:rPr>
          <w:rStyle w:val="apple-style-span"/>
          <w:rFonts w:cs="Times New Roman"/>
          <w:i/>
          <w:iCs/>
        </w:rPr>
        <w:t>Learning &amp; Individual Differences</w:t>
      </w:r>
      <w:r w:rsidRPr="00A25464">
        <w:rPr>
          <w:rStyle w:val="apple-style-span"/>
          <w:rFonts w:cs="Times New Roman"/>
        </w:rPr>
        <w:t xml:space="preserve">, </w:t>
      </w:r>
      <w:r w:rsidRPr="00A25464">
        <w:rPr>
          <w:rStyle w:val="apple-style-span"/>
          <w:rFonts w:cs="Times New Roman"/>
          <w:i/>
        </w:rPr>
        <w:t>20</w:t>
      </w:r>
      <w:r w:rsidRPr="00A25464">
        <w:rPr>
          <w:rStyle w:val="apple-style-span"/>
          <w:rFonts w:cs="Times New Roman"/>
        </w:rPr>
        <w:t>, 464-468. doi:10.1016/j.lindif.2010.03.004</w:t>
      </w:r>
    </w:p>
    <w:p w14:paraId="1EBCB113" w14:textId="77777777" w:rsidR="00AA0CD7" w:rsidRPr="00A25464" w:rsidRDefault="00AA0CD7" w:rsidP="009E1303">
      <w:pPr>
        <w:autoSpaceDE w:val="0"/>
        <w:spacing w:line="480" w:lineRule="auto"/>
        <w:ind w:left="630" w:hanging="630"/>
        <w:rPr>
          <w:rStyle w:val="apple-style-span"/>
          <w:rFonts w:cs="Times New Roman"/>
        </w:rPr>
      </w:pPr>
      <w:r w:rsidRPr="00A25464">
        <w:rPr>
          <w:rStyle w:val="Emphasis"/>
          <w:rFonts w:cs="Times New Roman"/>
          <w:i w:val="0"/>
        </w:rPr>
        <w:t>Monterosso</w:t>
      </w:r>
      <w:r w:rsidRPr="00A25464">
        <w:rPr>
          <w:rStyle w:val="medium-normal"/>
          <w:rFonts w:cs="Times New Roman"/>
        </w:rPr>
        <w:t xml:space="preserve">, J., Royzman, E. B., &amp; </w:t>
      </w:r>
      <w:r w:rsidRPr="00A25464">
        <w:rPr>
          <w:rStyle w:val="Emphasis"/>
          <w:rFonts w:cs="Times New Roman"/>
          <w:i w:val="0"/>
        </w:rPr>
        <w:t>Schwartz</w:t>
      </w:r>
      <w:r w:rsidRPr="00A25464">
        <w:rPr>
          <w:rStyle w:val="medium-normal"/>
          <w:rFonts w:cs="Times New Roman"/>
        </w:rPr>
        <w:t xml:space="preserve">, B. (2005). </w:t>
      </w:r>
      <w:r w:rsidRPr="00A25464">
        <w:rPr>
          <w:rFonts w:cs="Times New Roman"/>
        </w:rPr>
        <w:t>Explaining away responsibility: Effects of scientific explanation on perceived culpability.</w:t>
      </w:r>
      <w:r w:rsidRPr="00A25464">
        <w:rPr>
          <w:rStyle w:val="PageNumber"/>
          <w:rFonts w:cs="Times New Roman"/>
          <w:i/>
        </w:rPr>
        <w:t xml:space="preserve"> </w:t>
      </w:r>
      <w:r w:rsidRPr="00A25464">
        <w:rPr>
          <w:rStyle w:val="medium-normal"/>
          <w:rFonts w:cs="Times New Roman"/>
          <w:i/>
        </w:rPr>
        <w:t>Ethics &amp; Behavior,</w:t>
      </w:r>
      <w:r w:rsidRPr="00A25464">
        <w:rPr>
          <w:rStyle w:val="medium-normal"/>
          <w:rFonts w:cs="Times New Roman"/>
        </w:rPr>
        <w:t xml:space="preserve"> </w:t>
      </w:r>
      <w:r w:rsidRPr="00A25464">
        <w:rPr>
          <w:rStyle w:val="medium-normal"/>
          <w:rFonts w:cs="Times New Roman"/>
          <w:i/>
        </w:rPr>
        <w:t>15</w:t>
      </w:r>
      <w:r w:rsidRPr="00A25464">
        <w:rPr>
          <w:rStyle w:val="medium-normal"/>
          <w:rFonts w:cs="Times New Roman"/>
          <w:b/>
        </w:rPr>
        <w:t xml:space="preserve">, </w:t>
      </w:r>
      <w:r w:rsidRPr="00A25464">
        <w:rPr>
          <w:rStyle w:val="medium-normal"/>
          <w:rFonts w:cs="Times New Roman"/>
        </w:rPr>
        <w:t>139-158.</w:t>
      </w:r>
      <w:r w:rsidRPr="00A25464">
        <w:rPr>
          <w:rStyle w:val="medium-normal"/>
          <w:rFonts w:cs="Times New Roman"/>
          <w:b/>
        </w:rPr>
        <w:t xml:space="preserve"> </w:t>
      </w:r>
      <w:r w:rsidRPr="00A25464">
        <w:rPr>
          <w:rStyle w:val="apple-style-span"/>
          <w:rFonts w:cs="Times New Roman"/>
        </w:rPr>
        <w:t>doi:10.1207/s15327019eb1502_4</w:t>
      </w:r>
    </w:p>
    <w:p w14:paraId="47E1E2BE" w14:textId="77777777" w:rsidR="00AA0CD7" w:rsidRPr="007F1E17" w:rsidRDefault="00AA0CD7" w:rsidP="009E1303">
      <w:pPr>
        <w:spacing w:line="480" w:lineRule="auto"/>
        <w:ind w:left="630" w:hanging="630"/>
        <w:rPr>
          <w:rFonts w:cs="Times New Roman"/>
        </w:rPr>
      </w:pPr>
      <w:r w:rsidRPr="00A25464">
        <w:rPr>
          <w:rFonts w:cs="Times New Roman"/>
        </w:rPr>
        <w:t>N</w:t>
      </w:r>
      <w:r w:rsidRPr="007F1E17">
        <w:rPr>
          <w:rFonts w:cs="Times New Roman"/>
        </w:rPr>
        <w:t xml:space="preserve">elkin, D., &amp; Lindee, M. S. (1995). </w:t>
      </w:r>
      <w:r w:rsidRPr="007F1E17">
        <w:rPr>
          <w:rFonts w:cs="Times New Roman"/>
          <w:i/>
        </w:rPr>
        <w:t xml:space="preserve">The DNA mystique: The gene as a cultural icon. </w:t>
      </w:r>
      <w:r w:rsidRPr="007F1E17">
        <w:rPr>
          <w:rFonts w:cs="Times New Roman"/>
        </w:rPr>
        <w:t>New York: Freeman.</w:t>
      </w:r>
    </w:p>
    <w:p w14:paraId="3FC47FBF" w14:textId="77777777" w:rsidR="00BF574E" w:rsidRPr="005D7CDE" w:rsidRDefault="00BF574E" w:rsidP="009E1303">
      <w:pPr>
        <w:spacing w:line="480" w:lineRule="auto"/>
        <w:ind w:left="630" w:hanging="630"/>
        <w:rPr>
          <w:rFonts w:cs="Times New Roman"/>
        </w:rPr>
      </w:pPr>
      <w:r w:rsidRPr="007F1E17">
        <w:rPr>
          <w:rFonts w:cs="Times New Roman"/>
          <w:color w:val="222222"/>
          <w:shd w:val="clear" w:color="auto" w:fill="FFFFFF"/>
        </w:rPr>
        <w:t>Pearce, L. R., Atanassova, N., Banton, M. C., Bottomley, B., van der Klaauw, A. A., Revelli, J. P., ... &amp; Farooqi, I. S. (</w:t>
      </w:r>
      <w:r w:rsidR="007A6584" w:rsidRPr="005D7CDE">
        <w:rPr>
          <w:rFonts w:cs="Times New Roman"/>
          <w:color w:val="222222"/>
          <w:shd w:val="clear" w:color="auto" w:fill="FFFFFF"/>
        </w:rPr>
        <w:t>2013</w:t>
      </w:r>
      <w:r w:rsidRPr="005D7CDE">
        <w:rPr>
          <w:rFonts w:cs="Times New Roman"/>
          <w:color w:val="222222"/>
          <w:shd w:val="clear" w:color="auto" w:fill="FFFFFF"/>
        </w:rPr>
        <w:t>). KSR2 mutations are associated with obesity, insulin resistance, and impaired cellular fuel oxidation.</w:t>
      </w:r>
      <w:r w:rsidR="007A6584" w:rsidRPr="005D7CDE">
        <w:rPr>
          <w:rFonts w:cs="Times New Roman"/>
          <w:i/>
          <w:iCs/>
          <w:color w:val="222222"/>
          <w:shd w:val="clear" w:color="auto" w:fill="FFFFFF"/>
        </w:rPr>
        <w:t xml:space="preserve"> Cell</w:t>
      </w:r>
      <w:r w:rsidR="007A6584" w:rsidRPr="005D7CDE">
        <w:rPr>
          <w:rFonts w:cs="Times New Roman"/>
          <w:color w:val="222222"/>
          <w:shd w:val="clear" w:color="auto" w:fill="FFFFFF"/>
        </w:rPr>
        <w:t>,</w:t>
      </w:r>
      <w:r w:rsidR="007A6584" w:rsidRPr="005D7CDE">
        <w:rPr>
          <w:rStyle w:val="apple-converted-space"/>
          <w:rFonts w:cs="Times New Roman"/>
          <w:color w:val="222222"/>
          <w:shd w:val="clear" w:color="auto" w:fill="FFFFFF"/>
        </w:rPr>
        <w:t xml:space="preserve"> </w:t>
      </w:r>
      <w:r w:rsidR="007A6584" w:rsidRPr="005D7CDE">
        <w:rPr>
          <w:rFonts w:cs="Times New Roman"/>
          <w:i/>
          <w:iCs/>
          <w:color w:val="222222"/>
          <w:shd w:val="clear" w:color="auto" w:fill="FFFFFF"/>
        </w:rPr>
        <w:t>155</w:t>
      </w:r>
      <w:r w:rsidR="007A6584" w:rsidRPr="005D7CDE">
        <w:rPr>
          <w:rFonts w:cs="Times New Roman"/>
          <w:color w:val="222222"/>
          <w:shd w:val="clear" w:color="auto" w:fill="FFFFFF"/>
        </w:rPr>
        <w:t>(4), 765-777.</w:t>
      </w:r>
    </w:p>
    <w:p w14:paraId="70658B5D" w14:textId="77777777" w:rsidR="005F3FF0" w:rsidRPr="005D7CDE" w:rsidRDefault="005F3FF0" w:rsidP="009E1303">
      <w:pPr>
        <w:spacing w:line="480" w:lineRule="auto"/>
        <w:ind w:left="630" w:hanging="630"/>
        <w:rPr>
          <w:rFonts w:cs="Times New Roman"/>
          <w:color w:val="222222"/>
          <w:shd w:val="clear" w:color="auto" w:fill="FFFFFF"/>
        </w:rPr>
      </w:pPr>
      <w:r w:rsidRPr="005D7CDE">
        <w:rPr>
          <w:rFonts w:cs="Times New Roman"/>
          <w:color w:val="222222"/>
          <w:shd w:val="clear" w:color="auto" w:fill="FFFFFF"/>
        </w:rPr>
        <w:t xml:space="preserve">Perez, V. (2014). Mental Illness as degeneracy, disease, and genetics. </w:t>
      </w:r>
      <w:r w:rsidR="005D7CDE" w:rsidRPr="005D7CDE">
        <w:rPr>
          <w:rFonts w:cs="Times New Roman"/>
          <w:color w:val="222222"/>
          <w:shd w:val="clear" w:color="auto" w:fill="FFFFFF"/>
        </w:rPr>
        <w:t xml:space="preserve">In, T. L. Anderson (Ed.), </w:t>
      </w:r>
      <w:r w:rsidRPr="005D7CDE">
        <w:rPr>
          <w:rFonts w:cs="Times New Roman"/>
          <w:i/>
          <w:iCs/>
          <w:color w:val="222222"/>
          <w:shd w:val="clear" w:color="auto" w:fill="FFFFFF"/>
        </w:rPr>
        <w:t>Understanding Deviance: Connecting Classical and Contemporary Perspectives</w:t>
      </w:r>
      <w:r w:rsidR="005D7CDE" w:rsidRPr="005D7CDE">
        <w:rPr>
          <w:rFonts w:cs="Times New Roman"/>
          <w:color w:val="222222"/>
          <w:shd w:val="clear" w:color="auto" w:fill="FFFFFF"/>
        </w:rPr>
        <w:t xml:space="preserve"> (pp.</w:t>
      </w:r>
      <w:r w:rsidRPr="005D7CDE">
        <w:rPr>
          <w:rFonts w:cs="Times New Roman"/>
          <w:color w:val="222222"/>
          <w:shd w:val="clear" w:color="auto" w:fill="FFFFFF"/>
        </w:rPr>
        <w:t>197-206</w:t>
      </w:r>
      <w:r w:rsidR="005D7CDE" w:rsidRPr="005D7CDE">
        <w:rPr>
          <w:rFonts w:cs="Times New Roman"/>
          <w:color w:val="222222"/>
          <w:shd w:val="clear" w:color="auto" w:fill="FFFFFF"/>
        </w:rPr>
        <w:t>)</w:t>
      </w:r>
      <w:r w:rsidRPr="005D7CDE">
        <w:rPr>
          <w:rFonts w:cs="Times New Roman"/>
          <w:color w:val="222222"/>
          <w:shd w:val="clear" w:color="auto" w:fill="FFFFFF"/>
        </w:rPr>
        <w:t>.</w:t>
      </w:r>
      <w:r w:rsidR="005D7CDE" w:rsidRPr="005D7CDE">
        <w:rPr>
          <w:rFonts w:cs="Times New Roman"/>
          <w:color w:val="222222"/>
          <w:shd w:val="clear" w:color="auto" w:fill="FFFFFF"/>
        </w:rPr>
        <w:t xml:space="preserve"> Routledge Publishing. </w:t>
      </w:r>
      <w:r w:rsidRPr="005D7CDE">
        <w:rPr>
          <w:rFonts w:cs="Times New Roman"/>
          <w:color w:val="222222"/>
          <w:shd w:val="clear" w:color="auto" w:fill="FFFFFF"/>
        </w:rPr>
        <w:t xml:space="preserve"> </w:t>
      </w:r>
    </w:p>
    <w:p w14:paraId="02A06BD8" w14:textId="77777777" w:rsidR="000844F1" w:rsidRPr="000844F1" w:rsidRDefault="000844F1" w:rsidP="009E1303">
      <w:pPr>
        <w:spacing w:line="480" w:lineRule="auto"/>
        <w:ind w:left="630" w:hanging="630"/>
        <w:rPr>
          <w:rFonts w:cs="Times New Roman"/>
        </w:rPr>
      </w:pPr>
      <w:r w:rsidRPr="005D7CDE">
        <w:rPr>
          <w:rFonts w:cs="Times New Roman"/>
          <w:color w:val="222222"/>
          <w:shd w:val="clear" w:color="auto" w:fill="FFFFFF"/>
        </w:rPr>
        <w:t>Peterson, C., Semmel, A., von Baeyer, C., Abramson, L. Y</w:t>
      </w:r>
      <w:r w:rsidRPr="000844F1">
        <w:rPr>
          <w:rFonts w:cs="Times New Roman"/>
          <w:color w:val="222222"/>
          <w:shd w:val="clear" w:color="auto" w:fill="FFFFFF"/>
        </w:rPr>
        <w:t>., Metalsky, G. I., &amp; Seligman, M. E. (1982). The attributional style questionnaire.</w:t>
      </w:r>
      <w:r w:rsidRPr="000844F1">
        <w:rPr>
          <w:rStyle w:val="apple-converted-space"/>
          <w:rFonts w:cs="Times New Roman"/>
          <w:color w:val="222222"/>
          <w:shd w:val="clear" w:color="auto" w:fill="FFFFFF"/>
        </w:rPr>
        <w:t> </w:t>
      </w:r>
      <w:r w:rsidRPr="000844F1">
        <w:rPr>
          <w:rFonts w:cs="Times New Roman"/>
          <w:i/>
          <w:iCs/>
          <w:color w:val="222222"/>
          <w:shd w:val="clear" w:color="auto" w:fill="FFFFFF"/>
        </w:rPr>
        <w:t>Cognitive therapy and research</w:t>
      </w:r>
      <w:r w:rsidRPr="000844F1">
        <w:rPr>
          <w:rFonts w:cs="Times New Roman"/>
          <w:color w:val="222222"/>
          <w:shd w:val="clear" w:color="auto" w:fill="FFFFFF"/>
        </w:rPr>
        <w:t>,</w:t>
      </w:r>
      <w:r w:rsidRPr="000844F1">
        <w:rPr>
          <w:rStyle w:val="apple-converted-space"/>
          <w:rFonts w:cs="Times New Roman"/>
          <w:color w:val="222222"/>
          <w:shd w:val="clear" w:color="auto" w:fill="FFFFFF"/>
        </w:rPr>
        <w:t> </w:t>
      </w:r>
      <w:r w:rsidRPr="000844F1">
        <w:rPr>
          <w:rFonts w:cs="Times New Roman"/>
          <w:i/>
          <w:iCs/>
          <w:color w:val="222222"/>
          <w:shd w:val="clear" w:color="auto" w:fill="FFFFFF"/>
        </w:rPr>
        <w:t>6</w:t>
      </w:r>
      <w:r w:rsidRPr="000844F1">
        <w:rPr>
          <w:rFonts w:cs="Times New Roman"/>
          <w:color w:val="222222"/>
          <w:shd w:val="clear" w:color="auto" w:fill="FFFFFF"/>
        </w:rPr>
        <w:t>(3), 287-299.</w:t>
      </w:r>
      <w:r w:rsidRPr="000844F1">
        <w:rPr>
          <w:rFonts w:cs="Times New Roman"/>
        </w:rPr>
        <w:t xml:space="preserve"> </w:t>
      </w:r>
    </w:p>
    <w:p w14:paraId="5F55F716" w14:textId="77777777" w:rsidR="00AA0CD7" w:rsidRPr="00E36EFA" w:rsidRDefault="00AA0CD7" w:rsidP="009E1303">
      <w:pPr>
        <w:spacing w:line="480" w:lineRule="auto"/>
        <w:ind w:left="630" w:hanging="630"/>
        <w:rPr>
          <w:rFonts w:cs="Times New Roman"/>
        </w:rPr>
      </w:pPr>
      <w:r w:rsidRPr="000844F1">
        <w:rPr>
          <w:rFonts w:cs="Times New Roman"/>
        </w:rPr>
        <w:t>Phelan, J. C. (2005). Geneticization</w:t>
      </w:r>
      <w:r w:rsidRPr="00A25464">
        <w:rPr>
          <w:rFonts w:cs="Times New Roman"/>
        </w:rPr>
        <w:t xml:space="preserve"> of deviant behavior and consequences for stigma: The case of mental illness. </w:t>
      </w:r>
      <w:r w:rsidRPr="00A25464">
        <w:rPr>
          <w:rStyle w:val="Emphasis"/>
          <w:rFonts w:cs="Times New Roman"/>
          <w:bCs/>
        </w:rPr>
        <w:t xml:space="preserve">Journal of Health </w:t>
      </w:r>
      <w:r w:rsidRPr="00A25464">
        <w:rPr>
          <w:rStyle w:val="Emphasis"/>
          <w:bCs/>
        </w:rPr>
        <w:t>&amp;</w:t>
      </w:r>
      <w:r w:rsidRPr="00A25464">
        <w:rPr>
          <w:rStyle w:val="Emphasis"/>
          <w:rFonts w:cs="Times New Roman"/>
          <w:bCs/>
        </w:rPr>
        <w:t xml:space="preserve"> Social Behavior</w:t>
      </w:r>
      <w:r w:rsidRPr="00A25464">
        <w:rPr>
          <w:rFonts w:cs="Times New Roman"/>
          <w:bCs/>
        </w:rPr>
        <w:t xml:space="preserve">, </w:t>
      </w:r>
      <w:r w:rsidRPr="00A25464">
        <w:rPr>
          <w:rStyle w:val="Emphasis"/>
          <w:rFonts w:cs="Times New Roman"/>
          <w:bCs/>
        </w:rPr>
        <w:t>46</w:t>
      </w:r>
      <w:r w:rsidRPr="00A25464">
        <w:rPr>
          <w:rFonts w:cs="Times New Roman"/>
        </w:rPr>
        <w:t>, 307–322.</w:t>
      </w:r>
      <w:r w:rsidRPr="00A25464">
        <w:rPr>
          <w:rFonts w:cs="Times New Roman"/>
          <w:b/>
        </w:rPr>
        <w:t xml:space="preserve"> </w:t>
      </w:r>
      <w:r w:rsidRPr="00E36EFA">
        <w:rPr>
          <w:rFonts w:cs="Times New Roman"/>
        </w:rPr>
        <w:t>doi:10.1177/002214650504600401</w:t>
      </w:r>
    </w:p>
    <w:p w14:paraId="7EEDB302" w14:textId="1FD2076B" w:rsidR="00E36EFA" w:rsidRPr="00F44644" w:rsidRDefault="00E36EFA" w:rsidP="009E1303">
      <w:pPr>
        <w:widowControl/>
        <w:suppressAutoHyphens w:val="0"/>
        <w:autoSpaceDE w:val="0"/>
        <w:spacing w:line="480" w:lineRule="auto"/>
        <w:ind w:left="630" w:hanging="630"/>
        <w:rPr>
          <w:rFonts w:cs="Times New Roman"/>
          <w:color w:val="222222"/>
          <w:shd w:val="clear" w:color="auto" w:fill="FFFFFF"/>
        </w:rPr>
      </w:pPr>
      <w:r w:rsidRPr="00F44644">
        <w:rPr>
          <w:rFonts w:cs="Times New Roman"/>
          <w:color w:val="222222"/>
          <w:shd w:val="clear" w:color="auto" w:fill="FFFFFF"/>
        </w:rPr>
        <w:t xml:space="preserve">Seaman, M. A., Levin, J. R., &amp; Serlin, R. C. (1991). New developments in pairwise multiple comparisons: Some powerful and practicable procedures. </w:t>
      </w:r>
      <w:r w:rsidRPr="00F44644">
        <w:rPr>
          <w:rFonts w:cs="Times New Roman"/>
          <w:i/>
          <w:iCs/>
          <w:color w:val="222222"/>
          <w:shd w:val="clear" w:color="auto" w:fill="FFFFFF"/>
        </w:rPr>
        <w:t>Psychological Bulletin</w:t>
      </w:r>
      <w:r w:rsidRPr="00F44644">
        <w:rPr>
          <w:rFonts w:cs="Times New Roman"/>
          <w:color w:val="222222"/>
          <w:shd w:val="clear" w:color="auto" w:fill="FFFFFF"/>
        </w:rPr>
        <w:t>,</w:t>
      </w:r>
      <w:r w:rsidRPr="00E36EFA">
        <w:rPr>
          <w:rFonts w:cs="Times New Roman"/>
          <w:color w:val="222222"/>
          <w:shd w:val="clear" w:color="auto" w:fill="FFFFFF"/>
        </w:rPr>
        <w:t xml:space="preserve"> </w:t>
      </w:r>
      <w:r w:rsidRPr="00F44644">
        <w:rPr>
          <w:rFonts w:cs="Times New Roman"/>
          <w:i/>
          <w:iCs/>
          <w:color w:val="222222"/>
          <w:shd w:val="clear" w:color="auto" w:fill="FFFFFF"/>
        </w:rPr>
        <w:t>110</w:t>
      </w:r>
      <w:r w:rsidRPr="00F44644">
        <w:rPr>
          <w:rFonts w:cs="Times New Roman"/>
          <w:color w:val="222222"/>
          <w:shd w:val="clear" w:color="auto" w:fill="FFFFFF"/>
        </w:rPr>
        <w:t>(3), 577-586</w:t>
      </w:r>
      <w:r w:rsidRPr="00E36EFA">
        <w:rPr>
          <w:rFonts w:cs="Times New Roman"/>
          <w:color w:val="222222"/>
          <w:shd w:val="clear" w:color="auto" w:fill="FFFFFF"/>
        </w:rPr>
        <w:t xml:space="preserve">. </w:t>
      </w:r>
      <w:hyperlink r:id="rId20" w:history="1">
        <w:r>
          <w:rPr>
            <w:rStyle w:val="Hyperlink"/>
            <w:rFonts w:cs="Times New Roman"/>
            <w:color w:val="D00403"/>
            <w:shd w:val="clear" w:color="auto" w:fill="EEFFEE"/>
          </w:rPr>
          <w:t>doi</w:t>
        </w:r>
        <w:r w:rsidRPr="00F44644">
          <w:rPr>
            <w:rStyle w:val="Hyperlink"/>
            <w:rFonts w:cs="Times New Roman"/>
            <w:color w:val="D00403"/>
            <w:shd w:val="clear" w:color="auto" w:fill="EEFFEE"/>
          </w:rPr>
          <w:t>: 10.1037//0033-2909.110.3.577</w:t>
        </w:r>
      </w:hyperlink>
    </w:p>
    <w:p w14:paraId="7FF4FAFB" w14:textId="7FF9575F" w:rsidR="00AA0CD7" w:rsidRPr="00A25464" w:rsidRDefault="00AA0CD7" w:rsidP="009E1303">
      <w:pPr>
        <w:widowControl/>
        <w:suppressAutoHyphens w:val="0"/>
        <w:autoSpaceDE w:val="0"/>
        <w:spacing w:line="480" w:lineRule="auto"/>
        <w:ind w:left="630" w:hanging="630"/>
        <w:rPr>
          <w:rFonts w:eastAsia="Times New Roman" w:cs="Times New Roman"/>
          <w:lang w:eastAsia="ar-SA" w:bidi="ar-SA"/>
        </w:rPr>
      </w:pPr>
      <w:r w:rsidRPr="00E36EFA">
        <w:rPr>
          <w:rFonts w:eastAsia="Times New Roman" w:cs="Times New Roman"/>
          <w:lang w:eastAsia="ar-SA" w:bidi="ar-SA"/>
        </w:rPr>
        <w:t>Segal, M. E., Polansky</w:t>
      </w:r>
      <w:r w:rsidRPr="00A25464">
        <w:rPr>
          <w:rFonts w:eastAsia="Times New Roman" w:cs="Times New Roman"/>
          <w:lang w:eastAsia="ar-SA" w:bidi="ar-SA"/>
        </w:rPr>
        <w:t xml:space="preserve">, M., &amp; Sankar, P. (2007). Adults’ values and attitudes about genetic testing for obesity risk in children. </w:t>
      </w:r>
      <w:r w:rsidRPr="00A25464">
        <w:rPr>
          <w:rFonts w:eastAsia="Times New Roman" w:cs="Times New Roman"/>
          <w:i/>
          <w:lang w:eastAsia="ar-SA" w:bidi="ar-SA"/>
        </w:rPr>
        <w:t>International</w:t>
      </w:r>
      <w:r w:rsidRPr="00A25464">
        <w:rPr>
          <w:rFonts w:eastAsia="Times New Roman" w:cs="Times New Roman"/>
          <w:lang w:eastAsia="ar-SA" w:bidi="ar-SA"/>
        </w:rPr>
        <w:t xml:space="preserve"> </w:t>
      </w:r>
      <w:r w:rsidRPr="00A25464">
        <w:rPr>
          <w:rFonts w:eastAsia="Times New Roman" w:cs="Times New Roman"/>
          <w:i/>
          <w:lang w:eastAsia="ar-SA" w:bidi="ar-SA"/>
        </w:rPr>
        <w:t>Journal of Pediatric Obesity. 2</w:t>
      </w:r>
      <w:r w:rsidRPr="00A25464">
        <w:rPr>
          <w:rFonts w:eastAsia="Times New Roman" w:cs="Times New Roman"/>
          <w:lang w:eastAsia="ar-SA" w:bidi="ar-SA"/>
        </w:rPr>
        <w:t>, 11-21.</w:t>
      </w:r>
      <w:r w:rsidR="00140422">
        <w:rPr>
          <w:rFonts w:eastAsia="Times New Roman" w:cs="Times New Roman"/>
          <w:lang w:eastAsia="ar-SA" w:bidi="ar-SA"/>
        </w:rPr>
        <w:t xml:space="preserve"> </w:t>
      </w:r>
      <w:r w:rsidR="00140422" w:rsidRPr="002117EF">
        <w:rPr>
          <w:rFonts w:cs="Times New Roman"/>
          <w:b/>
          <w:bCs/>
          <w:color w:val="545454"/>
          <w:shd w:val="clear" w:color="auto" w:fill="FFFFFF"/>
        </w:rPr>
        <w:t>doi</w:t>
      </w:r>
      <w:r w:rsidR="00140422" w:rsidRPr="002117EF">
        <w:rPr>
          <w:rFonts w:cs="Times New Roman"/>
          <w:color w:val="545454"/>
          <w:shd w:val="clear" w:color="auto" w:fill="FFFFFF"/>
        </w:rPr>
        <w:t>:10.1080/17477160601127921</w:t>
      </w:r>
    </w:p>
    <w:p w14:paraId="744D66EB" w14:textId="77777777" w:rsidR="00AA0CD7" w:rsidRPr="001B410C" w:rsidRDefault="00AA0CD7" w:rsidP="009E1303">
      <w:pPr>
        <w:spacing w:line="480" w:lineRule="auto"/>
        <w:ind w:left="630" w:hanging="630"/>
        <w:rPr>
          <w:rStyle w:val="medium-font"/>
          <w:rFonts w:cs="Times New Roman"/>
        </w:rPr>
      </w:pPr>
      <w:r w:rsidRPr="00A25464">
        <w:rPr>
          <w:rFonts w:cs="Times New Roman"/>
        </w:rPr>
        <w:t xml:space="preserve">Sheldon, J. P., Pfeffer, C. A., Jayaratne, T. E., Feldbaum, M., &amp; Petty, E. M. (2007). Beliefs about the etiology of </w:t>
      </w:r>
      <w:r w:rsidRPr="001B410C">
        <w:rPr>
          <w:rFonts w:cs="Times New Roman"/>
        </w:rPr>
        <w:t xml:space="preserve">homosexuality and about the ramifications of discovering its possible genetic origin. </w:t>
      </w:r>
      <w:r w:rsidRPr="001B410C">
        <w:rPr>
          <w:rFonts w:cs="Times New Roman"/>
          <w:i/>
        </w:rPr>
        <w:t>Journal of Homosexuality</w:t>
      </w:r>
      <w:r w:rsidRPr="001B410C">
        <w:rPr>
          <w:rFonts w:cs="Times New Roman"/>
        </w:rPr>
        <w:t xml:space="preserve">, </w:t>
      </w:r>
      <w:r w:rsidRPr="001B410C">
        <w:rPr>
          <w:rFonts w:cs="Times New Roman"/>
          <w:i/>
        </w:rPr>
        <w:t xml:space="preserve">52, </w:t>
      </w:r>
      <w:r w:rsidRPr="001B410C">
        <w:rPr>
          <w:rFonts w:cs="Times New Roman"/>
        </w:rPr>
        <w:t xml:space="preserve">111–150. </w:t>
      </w:r>
      <w:hyperlink r:id="rId21" w:anchor="_blank" w:history="1">
        <w:r w:rsidRPr="001B410C">
          <w:rPr>
            <w:rStyle w:val="Hyperlink"/>
            <w:rFonts w:cs="Times New Roman"/>
            <w:color w:val="auto"/>
            <w:u w:val="none"/>
          </w:rPr>
          <w:t>doi:10.1300/J082v52n03_06</w:t>
        </w:r>
      </w:hyperlink>
    </w:p>
    <w:p w14:paraId="58722966" w14:textId="77777777" w:rsidR="005D7CDE" w:rsidRPr="001B410C" w:rsidRDefault="005D7CDE" w:rsidP="009E1303">
      <w:pPr>
        <w:spacing w:line="480" w:lineRule="auto"/>
        <w:ind w:left="630" w:hanging="630"/>
        <w:rPr>
          <w:rStyle w:val="medium-font"/>
          <w:rFonts w:cs="Times New Roman"/>
        </w:rPr>
      </w:pPr>
      <w:r w:rsidRPr="001B410C">
        <w:rPr>
          <w:rFonts w:cs="Times New Roman"/>
          <w:color w:val="222222"/>
          <w:shd w:val="clear" w:color="auto" w:fill="FFFFFF"/>
        </w:rPr>
        <w:t>Shostak, S., Conrad, P., &amp; Horwitz, A. V. (2008). Sequencing and its consequences: Path dependence and the relationships between genetics and medicalization.</w:t>
      </w:r>
      <w:r w:rsidRPr="001B410C">
        <w:rPr>
          <w:rStyle w:val="apple-converted-space"/>
          <w:rFonts w:cs="Times New Roman"/>
          <w:color w:val="222222"/>
          <w:shd w:val="clear" w:color="auto" w:fill="FFFFFF"/>
        </w:rPr>
        <w:t> </w:t>
      </w:r>
      <w:r w:rsidRPr="001B410C">
        <w:rPr>
          <w:rFonts w:cs="Times New Roman"/>
          <w:i/>
          <w:iCs/>
          <w:color w:val="222222"/>
          <w:shd w:val="clear" w:color="auto" w:fill="FFFFFF"/>
        </w:rPr>
        <w:t>American Journal of Sociology</w:t>
      </w:r>
      <w:r w:rsidRPr="001B410C">
        <w:rPr>
          <w:rFonts w:cs="Times New Roman"/>
          <w:color w:val="222222"/>
          <w:shd w:val="clear" w:color="auto" w:fill="FFFFFF"/>
        </w:rPr>
        <w:t>,</w:t>
      </w:r>
      <w:r w:rsidRPr="001B410C">
        <w:rPr>
          <w:rStyle w:val="apple-converted-space"/>
          <w:rFonts w:cs="Times New Roman"/>
          <w:color w:val="222222"/>
          <w:shd w:val="clear" w:color="auto" w:fill="FFFFFF"/>
        </w:rPr>
        <w:t> </w:t>
      </w:r>
      <w:r w:rsidRPr="001B410C">
        <w:rPr>
          <w:rFonts w:cs="Times New Roman"/>
          <w:i/>
          <w:iCs/>
          <w:color w:val="222222"/>
          <w:shd w:val="clear" w:color="auto" w:fill="FFFFFF"/>
        </w:rPr>
        <w:t>114</w:t>
      </w:r>
      <w:r w:rsidRPr="001B410C">
        <w:rPr>
          <w:rFonts w:cs="Times New Roman"/>
          <w:color w:val="222222"/>
          <w:shd w:val="clear" w:color="auto" w:fill="FFFFFF"/>
        </w:rPr>
        <w:t>(S1), S287-S316.</w:t>
      </w:r>
      <w:r w:rsidRPr="001B410C">
        <w:rPr>
          <w:rStyle w:val="medium-font"/>
          <w:rFonts w:cs="Times New Roman"/>
        </w:rPr>
        <w:t xml:space="preserve"> </w:t>
      </w:r>
    </w:p>
    <w:p w14:paraId="2EAB1AC7" w14:textId="77777777" w:rsidR="00AA0CD7" w:rsidRPr="006345A4" w:rsidRDefault="00AA0CD7" w:rsidP="009E1303">
      <w:pPr>
        <w:spacing w:line="480" w:lineRule="auto"/>
        <w:ind w:left="630" w:hanging="630"/>
        <w:rPr>
          <w:rStyle w:val="apple-style-span"/>
          <w:rFonts w:cs="Times New Roman"/>
        </w:rPr>
      </w:pPr>
      <w:r w:rsidRPr="001B410C">
        <w:rPr>
          <w:rStyle w:val="medium-font"/>
          <w:rFonts w:cs="Times New Roman"/>
        </w:rPr>
        <w:t xml:space="preserve">Singer, E., Corning, A. D., &amp; Lamias, M. (1998). Trends: Genetic testing, engineering, and therapy: Awareness and Attitudes. </w:t>
      </w:r>
      <w:r w:rsidRPr="001B410C">
        <w:rPr>
          <w:rStyle w:val="medium-font"/>
          <w:rFonts w:cs="Times New Roman"/>
          <w:i/>
        </w:rPr>
        <w:t>Public Opinion</w:t>
      </w:r>
      <w:r w:rsidRPr="006345A4">
        <w:rPr>
          <w:rStyle w:val="medium-font"/>
          <w:rFonts w:cs="Times New Roman"/>
          <w:i/>
        </w:rPr>
        <w:t xml:space="preserve"> Quarterly, 62,</w:t>
      </w:r>
      <w:r w:rsidRPr="006345A4">
        <w:rPr>
          <w:rStyle w:val="medium-font"/>
          <w:rFonts w:cs="Times New Roman"/>
        </w:rPr>
        <w:t xml:space="preserve"> 633-664. </w:t>
      </w:r>
      <w:hyperlink r:id="rId22" w:anchor="_blank" w:history="1">
        <w:r w:rsidRPr="006345A4">
          <w:rPr>
            <w:rStyle w:val="Hyperlink"/>
            <w:rFonts w:cs="Times New Roman"/>
            <w:color w:val="auto"/>
            <w:u w:val="none"/>
          </w:rPr>
          <w:t>doi:10.1086/297864</w:t>
        </w:r>
      </w:hyperlink>
    </w:p>
    <w:p w14:paraId="752F0D45" w14:textId="77777777" w:rsidR="006345A4" w:rsidRPr="006345A4" w:rsidRDefault="006345A4" w:rsidP="009E1303">
      <w:pPr>
        <w:spacing w:line="480" w:lineRule="auto"/>
        <w:ind w:left="630" w:hanging="630"/>
        <w:rPr>
          <w:rStyle w:val="apple-style-span"/>
          <w:rFonts w:cs="Times New Roman"/>
        </w:rPr>
      </w:pPr>
      <w:r w:rsidRPr="006345A4">
        <w:rPr>
          <w:rFonts w:cs="Times New Roman"/>
          <w:color w:val="222222"/>
          <w:shd w:val="clear" w:color="auto" w:fill="FFFFFF"/>
        </w:rPr>
        <w:t>Speliotes, E. K., Willer, C. J., Berndt, S. I., Monda, K. L., Thorleifsson, G., Jackson, A. U., ... &amp; Hoesel, V. (2010). Association analyses of 249,796 individuals reveal 18 new loci associated with body mass index.</w:t>
      </w:r>
      <w:r w:rsidRPr="006345A4">
        <w:rPr>
          <w:rStyle w:val="apple-converted-space"/>
          <w:rFonts w:cs="Times New Roman"/>
          <w:color w:val="222222"/>
          <w:shd w:val="clear" w:color="auto" w:fill="FFFFFF"/>
        </w:rPr>
        <w:t> </w:t>
      </w:r>
      <w:r w:rsidRPr="006345A4">
        <w:rPr>
          <w:rFonts w:cs="Times New Roman"/>
          <w:i/>
          <w:iCs/>
          <w:color w:val="222222"/>
          <w:shd w:val="clear" w:color="auto" w:fill="FFFFFF"/>
        </w:rPr>
        <w:t>Nature genetics</w:t>
      </w:r>
      <w:r w:rsidRPr="006345A4">
        <w:rPr>
          <w:rFonts w:cs="Times New Roman"/>
          <w:color w:val="222222"/>
          <w:shd w:val="clear" w:color="auto" w:fill="FFFFFF"/>
        </w:rPr>
        <w:t>,</w:t>
      </w:r>
      <w:r w:rsidRPr="006345A4">
        <w:rPr>
          <w:rStyle w:val="apple-converted-space"/>
          <w:rFonts w:cs="Times New Roman"/>
          <w:color w:val="222222"/>
          <w:shd w:val="clear" w:color="auto" w:fill="FFFFFF"/>
        </w:rPr>
        <w:t> </w:t>
      </w:r>
      <w:r w:rsidRPr="006345A4">
        <w:rPr>
          <w:rFonts w:cs="Times New Roman"/>
          <w:i/>
          <w:iCs/>
          <w:color w:val="222222"/>
          <w:shd w:val="clear" w:color="auto" w:fill="FFFFFF"/>
        </w:rPr>
        <w:t>42</w:t>
      </w:r>
      <w:r w:rsidRPr="006345A4">
        <w:rPr>
          <w:rFonts w:cs="Times New Roman"/>
          <w:color w:val="222222"/>
          <w:shd w:val="clear" w:color="auto" w:fill="FFFFFF"/>
        </w:rPr>
        <w:t>(11), 937-948.</w:t>
      </w:r>
      <w:r w:rsidRPr="006345A4">
        <w:rPr>
          <w:rStyle w:val="apple-style-span"/>
          <w:rFonts w:cs="Times New Roman"/>
        </w:rPr>
        <w:t xml:space="preserve"> </w:t>
      </w:r>
    </w:p>
    <w:p w14:paraId="291D0D20" w14:textId="77777777" w:rsidR="00AA0CD7" w:rsidRPr="006345A4" w:rsidRDefault="00AA0CD7" w:rsidP="009E1303">
      <w:pPr>
        <w:spacing w:line="480" w:lineRule="auto"/>
        <w:ind w:left="630" w:hanging="630"/>
        <w:rPr>
          <w:rStyle w:val="Hyperlink"/>
          <w:rFonts w:cs="Times New Roman"/>
          <w:color w:val="auto"/>
          <w:u w:val="none"/>
        </w:rPr>
      </w:pPr>
      <w:r w:rsidRPr="006345A4">
        <w:rPr>
          <w:rStyle w:val="apple-style-span"/>
          <w:rFonts w:cs="Times New Roman"/>
        </w:rPr>
        <w:t>Wang, C., &amp; Coups, E. (2010). Causal beliefs about obesity and associated health behaviors: results from a population-based survey.</w:t>
      </w:r>
      <w:r w:rsidRPr="006345A4">
        <w:rPr>
          <w:rStyle w:val="apple-converted-space"/>
          <w:rFonts w:cs="Times New Roman"/>
        </w:rPr>
        <w:t> </w:t>
      </w:r>
      <w:r w:rsidRPr="006345A4">
        <w:rPr>
          <w:rStyle w:val="apple-style-span"/>
          <w:rFonts w:cs="Times New Roman"/>
          <w:i/>
          <w:iCs/>
        </w:rPr>
        <w:t xml:space="preserve">The International Journal </w:t>
      </w:r>
      <w:r w:rsidR="004D7D28" w:rsidRPr="006345A4">
        <w:rPr>
          <w:rStyle w:val="apple-style-span"/>
          <w:rFonts w:cs="Times New Roman"/>
          <w:i/>
          <w:iCs/>
        </w:rPr>
        <w:t>o</w:t>
      </w:r>
      <w:r w:rsidRPr="006345A4">
        <w:rPr>
          <w:rStyle w:val="apple-style-span"/>
          <w:rFonts w:cs="Times New Roman"/>
          <w:i/>
          <w:iCs/>
        </w:rPr>
        <w:t>f Behavioral Nutrition &amp; Physical Activity</w:t>
      </w:r>
      <w:r w:rsidRPr="006345A4">
        <w:rPr>
          <w:rStyle w:val="apple-style-span"/>
          <w:rFonts w:cs="Times New Roman"/>
        </w:rPr>
        <w:t xml:space="preserve">, </w:t>
      </w:r>
      <w:r w:rsidRPr="006345A4">
        <w:rPr>
          <w:rStyle w:val="apple-style-span"/>
          <w:rFonts w:cs="Times New Roman"/>
          <w:i/>
        </w:rPr>
        <w:t>7</w:t>
      </w:r>
      <w:r w:rsidRPr="006345A4">
        <w:rPr>
          <w:rStyle w:val="apple-style-span"/>
          <w:rFonts w:cs="Times New Roman"/>
        </w:rPr>
        <w:t>, 19.</w:t>
      </w:r>
      <w:r w:rsidRPr="006345A4">
        <w:rPr>
          <w:rStyle w:val="apple-converted-space"/>
          <w:rFonts w:cs="Times New Roman"/>
        </w:rPr>
        <w:t> </w:t>
      </w:r>
      <w:hyperlink r:id="rId23" w:anchor="_blank" w:history="1">
        <w:r w:rsidRPr="006345A4">
          <w:rPr>
            <w:rStyle w:val="Hyperlink"/>
            <w:rFonts w:cs="Times New Roman"/>
            <w:color w:val="auto"/>
            <w:u w:val="none"/>
          </w:rPr>
          <w:t>doi:10.1186/1479-5868-7-19</w:t>
        </w:r>
      </w:hyperlink>
    </w:p>
    <w:p w14:paraId="5A8D3E3E" w14:textId="77777777" w:rsidR="005533E3" w:rsidRPr="00A25464" w:rsidRDefault="005533E3" w:rsidP="009E1303">
      <w:pPr>
        <w:spacing w:line="480" w:lineRule="auto"/>
        <w:ind w:left="630" w:hanging="630"/>
      </w:pPr>
      <w:r>
        <w:rPr>
          <w:rStyle w:val="Hyperlink"/>
          <w:color w:val="auto"/>
          <w:u w:val="none"/>
        </w:rPr>
        <w:t>Young, E. H., Wareham, N. J., Farooqi, S., Hinney, A., Hebebrand J., Scherag, A</w:t>
      </w:r>
      <w:r w:rsidR="0060213D">
        <w:rPr>
          <w:rStyle w:val="Hyperlink"/>
          <w:color w:val="auto"/>
          <w:u w:val="none"/>
        </w:rPr>
        <w:t>., …</w:t>
      </w:r>
      <w:r>
        <w:rPr>
          <w:rStyle w:val="Hyperlink"/>
          <w:color w:val="auto"/>
          <w:u w:val="none"/>
        </w:rPr>
        <w:t xml:space="preserve"> &amp; Sandhu, M. S. (2007). The V103I polymorphism of the MC4R gene and obesity: Population based studies and meta-analysis of 29,563 individuals. </w:t>
      </w:r>
      <w:r w:rsidR="002117EF">
        <w:rPr>
          <w:rStyle w:val="Hyperlink"/>
          <w:i/>
          <w:color w:val="auto"/>
          <w:u w:val="none"/>
        </w:rPr>
        <w:t>Journal of Obesity</w:t>
      </w:r>
      <w:r>
        <w:rPr>
          <w:rStyle w:val="Hyperlink"/>
          <w:color w:val="auto"/>
          <w:u w:val="none"/>
        </w:rPr>
        <w:t>,</w:t>
      </w:r>
      <w:r w:rsidR="002117EF">
        <w:rPr>
          <w:rStyle w:val="Hyperlink"/>
          <w:color w:val="auto"/>
          <w:u w:val="none"/>
        </w:rPr>
        <w:t xml:space="preserve"> </w:t>
      </w:r>
      <w:r w:rsidR="002117EF" w:rsidRPr="002117EF">
        <w:rPr>
          <w:rStyle w:val="Hyperlink"/>
          <w:i/>
          <w:color w:val="auto"/>
          <w:u w:val="none"/>
        </w:rPr>
        <w:t>31</w:t>
      </w:r>
      <w:r w:rsidR="002117EF">
        <w:rPr>
          <w:rStyle w:val="Hyperlink"/>
          <w:color w:val="auto"/>
          <w:u w:val="none"/>
        </w:rPr>
        <w:t>(9)</w:t>
      </w:r>
      <w:r>
        <w:rPr>
          <w:rStyle w:val="Hyperlink"/>
          <w:color w:val="auto"/>
          <w:u w:val="none"/>
        </w:rPr>
        <w:t xml:space="preserve"> 1437-1441.</w:t>
      </w:r>
    </w:p>
    <w:p w14:paraId="7799C482" w14:textId="15FD560E" w:rsidR="00684833" w:rsidRDefault="00684833">
      <w:pPr>
        <w:widowControl/>
        <w:suppressAutoHyphens w:val="0"/>
      </w:pPr>
      <w:r>
        <w:br w:type="page"/>
      </w:r>
    </w:p>
    <w:p w14:paraId="51A05B96" w14:textId="77777777" w:rsidR="00684833" w:rsidRDefault="00684833" w:rsidP="00684833">
      <w:pPr>
        <w:spacing w:line="480" w:lineRule="auto"/>
        <w:ind w:left="630" w:hanging="630"/>
        <w:jc w:val="center"/>
        <w:rPr>
          <w:b/>
        </w:rPr>
      </w:pPr>
      <w:r w:rsidRPr="001552DE">
        <w:rPr>
          <w:b/>
        </w:rPr>
        <w:t xml:space="preserve">Appendix </w:t>
      </w:r>
      <w:r>
        <w:rPr>
          <w:b/>
        </w:rPr>
        <w:t>1</w:t>
      </w:r>
      <w:r w:rsidRPr="001552DE">
        <w:rPr>
          <w:b/>
        </w:rPr>
        <w:t>- High Metabolism Vignette</w:t>
      </w:r>
      <w:r>
        <w:rPr>
          <w:b/>
        </w:rPr>
        <w:t>s</w:t>
      </w:r>
      <w:r w:rsidRPr="001552DE">
        <w:rPr>
          <w:b/>
        </w:rPr>
        <w:t xml:space="preserve"> as used in Study 2</w:t>
      </w:r>
    </w:p>
    <w:p w14:paraId="0FE67ADD" w14:textId="77777777" w:rsidR="00684833" w:rsidRPr="001552DE" w:rsidRDefault="00684833" w:rsidP="00684833">
      <w:pPr>
        <w:spacing w:line="480" w:lineRule="auto"/>
        <w:ind w:left="630" w:hanging="630"/>
        <w:jc w:val="center"/>
        <w:rPr>
          <w:b/>
        </w:rPr>
      </w:pPr>
    </w:p>
    <w:p w14:paraId="18041CF2" w14:textId="77777777" w:rsidR="00684833" w:rsidRPr="001552DE" w:rsidRDefault="00684833" w:rsidP="00684833">
      <w:pPr>
        <w:spacing w:line="480" w:lineRule="auto"/>
        <w:ind w:left="630" w:hanging="630"/>
        <w:rPr>
          <w:b/>
        </w:rPr>
      </w:pPr>
      <w:r w:rsidRPr="001552DE">
        <w:rPr>
          <w:b/>
        </w:rPr>
        <w:t>Identical for all conditions:</w:t>
      </w:r>
    </w:p>
    <w:p w14:paraId="70D72D47" w14:textId="77777777" w:rsidR="00684833" w:rsidRDefault="00684833" w:rsidP="00684833">
      <w:pPr>
        <w:spacing w:line="480" w:lineRule="auto"/>
        <w:ind w:firstLine="720"/>
      </w:pPr>
      <w:r>
        <w:t>25-year-old Jeremy Cooper is training to be a chef at his local Culinary Arts Institute.  One of the policies of the school is that students must be educated on the importance of food and physical health as part of their curriculum.  As part of their unit on metabolism, they must learn about what metabolism is, and what causes rates of metabolism to be faster or slower.</w:t>
      </w:r>
    </w:p>
    <w:p w14:paraId="09F0F3EF" w14:textId="77777777" w:rsidR="00684833" w:rsidRDefault="00684833" w:rsidP="00684833">
      <w:pPr>
        <w:spacing w:line="480" w:lineRule="auto"/>
        <w:ind w:firstLine="720"/>
      </w:pPr>
      <w:r>
        <w:t>As part of this learning process, it is the goal of the administration for each student to know their own metabolism so that they are more aware of the food that they create, and the ingredients that they will use.</w:t>
      </w:r>
    </w:p>
    <w:p w14:paraId="7BCAC3F4" w14:textId="77777777" w:rsidR="00684833" w:rsidRPr="001552DE" w:rsidRDefault="00684833" w:rsidP="00684833">
      <w:pPr>
        <w:spacing w:line="480" w:lineRule="auto"/>
        <w:ind w:left="630" w:hanging="630"/>
        <w:rPr>
          <w:b/>
        </w:rPr>
      </w:pPr>
      <w:r w:rsidRPr="001552DE">
        <w:rPr>
          <w:b/>
        </w:rPr>
        <w:t>Control condition:</w:t>
      </w:r>
    </w:p>
    <w:p w14:paraId="2CCC6752" w14:textId="77777777" w:rsidR="00684833" w:rsidRDefault="00684833" w:rsidP="00684833">
      <w:pPr>
        <w:spacing w:line="480" w:lineRule="auto"/>
        <w:ind w:firstLine="720"/>
      </w:pPr>
      <w:r>
        <w:t xml:space="preserve">The administration just wanted them to be aware of the variability in metabolism rates in the people that they will eventually have to cook for.  Thus, the students should be wary of the types of ingredients they use – not everyone has the high metabolic rate to facilitate burning away of calories from fats quickly.  </w:t>
      </w:r>
    </w:p>
    <w:p w14:paraId="38A47C0C" w14:textId="77777777" w:rsidR="00684833" w:rsidRPr="001552DE" w:rsidRDefault="00684833" w:rsidP="00684833">
      <w:pPr>
        <w:spacing w:line="480" w:lineRule="auto"/>
        <w:ind w:firstLine="720"/>
        <w:rPr>
          <w:b/>
        </w:rPr>
      </w:pPr>
      <w:r>
        <w:t xml:space="preserve">Jeremy thought about his own metabolism and, through chatting with his other classmates, decided that he may have relatively higher metabolic rate compared to others, but he isn’t quite sure.  He understands, though, that he still </w:t>
      </w:r>
      <w:r w:rsidRPr="001552DE">
        <w:t>needs to be aware of others’ dietary needs.</w:t>
      </w:r>
    </w:p>
    <w:p w14:paraId="1937A83C" w14:textId="77777777" w:rsidR="00684833" w:rsidRPr="001552DE" w:rsidRDefault="00684833" w:rsidP="00684833">
      <w:pPr>
        <w:spacing w:line="480" w:lineRule="auto"/>
        <w:ind w:left="630" w:hanging="630"/>
        <w:rPr>
          <w:b/>
        </w:rPr>
      </w:pPr>
      <w:r w:rsidRPr="001552DE">
        <w:rPr>
          <w:b/>
        </w:rPr>
        <w:t>Genetic condition:</w:t>
      </w:r>
    </w:p>
    <w:p w14:paraId="073DD167" w14:textId="77777777" w:rsidR="00684833" w:rsidRDefault="00684833" w:rsidP="00684833">
      <w:pPr>
        <w:spacing w:line="480" w:lineRule="auto"/>
        <w:ind w:firstLine="720"/>
      </w:pPr>
      <w:r>
        <w:t xml:space="preserve">The administration hopes to achieve this by discussing a cause of variability in metabolic rates, borrowing from a new trend in the culinary field – molecular gastronomy, which is the study of how to make use of physical and chemical reactions in cooking.  The exception is that, for this unit, the administration wants to shift the focus from the food to the students, focusing on the biochemical interactions between our bodies and the food we eat.  This will be accomplished by taking advantage of the cheap genetic testing technology that has emerged on many genetic testing websites.  After each student obtains their result, the instructor will depict the distribution of the relevant gene amongst the students.  The administration hopes that this will allow students to have a broader appreciation of the variability in metabolism in the population, as shown by the distribution of the gene. </w:t>
      </w:r>
    </w:p>
    <w:p w14:paraId="69971A75" w14:textId="77777777" w:rsidR="00684833" w:rsidRDefault="00684833" w:rsidP="00684833">
      <w:pPr>
        <w:spacing w:line="480" w:lineRule="auto"/>
        <w:ind w:firstLine="720"/>
      </w:pPr>
      <w:r>
        <w:t>Jeremy’s results show that he does, in fact, have the KLF15 gene, a gene that has been associated with faster metabolism, especially of fats, according to a recent journal article by researchers at the Case Western University (Haldar et al., 2012).  In other words, this gene is associated with the ability to more quickly burn off calories from fats, with strong implications for keeping off excess weight and a lower prevalence of cardiovascular disease.</w:t>
      </w:r>
    </w:p>
    <w:p w14:paraId="64DEE3A0" w14:textId="77777777" w:rsidR="00684833" w:rsidRPr="001552DE" w:rsidRDefault="00684833" w:rsidP="00684833">
      <w:pPr>
        <w:spacing w:line="480" w:lineRule="auto"/>
        <w:ind w:left="630" w:hanging="630"/>
        <w:rPr>
          <w:b/>
        </w:rPr>
      </w:pPr>
      <w:r w:rsidRPr="001552DE">
        <w:rPr>
          <w:b/>
        </w:rPr>
        <w:t>Experiential condition:</w:t>
      </w:r>
    </w:p>
    <w:p w14:paraId="55CF6B42" w14:textId="77777777" w:rsidR="00684833" w:rsidRDefault="00684833" w:rsidP="00684833">
      <w:pPr>
        <w:spacing w:line="480" w:lineRule="auto"/>
        <w:ind w:firstLine="720"/>
      </w:pPr>
      <w:r>
        <w:t xml:space="preserve">The administration hopes to achieve this by discussing a cause of variability in metabolic rates.  They brought in Dr. Guy Putet, a professor of Pediatrics from the French Paediatric Society.  Speaking about a journal article that he published in 2011, he lectured the students about the key role that being breastfed as an infant plays in affecting metabolic rates in adulthood.  He suggests that there is something about the nurturing that occurs during nursing of an infant that sets the initial conditions for developing his or her metabolism.  Specifically, being breastfed is associated with higher metabolism rates than being bottle-fed.  In other words, being breastfed is associated with the ability to more quickly burn off calories from fats, with strong implications for keeping off excess weight and a lower prevalence of cardiovascular disease.  Dr. Putet encouraged each student to consider their own upbringing, and depicted the distribution of the frequency of breastfeeding amongst students during infancy.  The administration hopes that this will allow students to have a broader appreciation of the variability in metabolism in the population, as shown by the distribution of other students’ experiences. </w:t>
      </w:r>
    </w:p>
    <w:p w14:paraId="11529FAB" w14:textId="77777777" w:rsidR="00684833" w:rsidRDefault="00684833" w:rsidP="00684833">
      <w:pPr>
        <w:spacing w:line="480" w:lineRule="auto"/>
        <w:ind w:firstLine="720"/>
      </w:pPr>
      <w:r>
        <w:t xml:space="preserve">Jeremy considered his own upbringing, and brought up the fact that he was breastfed as a child.  </w:t>
      </w:r>
    </w:p>
    <w:p w14:paraId="29C40AAF" w14:textId="77777777" w:rsidR="00684833" w:rsidRDefault="00684833" w:rsidP="00684833">
      <w:pPr>
        <w:rPr>
          <w:rFonts w:eastAsia="Times New Roman" w:cs="Times New Roman"/>
          <w:lang w:val="en-AU" w:eastAsia="en-AU"/>
        </w:rPr>
      </w:pPr>
      <w:r>
        <w:br w:type="page"/>
      </w:r>
    </w:p>
    <w:p w14:paraId="60DAB1D1" w14:textId="77777777" w:rsidR="00684833" w:rsidRDefault="00684833" w:rsidP="00684833">
      <w:pPr>
        <w:pStyle w:val="NormalWeb"/>
        <w:spacing w:before="60" w:beforeAutospacing="0" w:after="60" w:afterAutospacing="0"/>
        <w:ind w:left="60" w:right="60"/>
        <w:jc w:val="center"/>
        <w:rPr>
          <w:rFonts w:asciiTheme="minorHAnsi" w:hAnsiTheme="minorHAnsi"/>
          <w:b/>
        </w:rPr>
      </w:pPr>
      <w:r w:rsidRPr="001552DE">
        <w:rPr>
          <w:rFonts w:asciiTheme="minorHAnsi" w:hAnsiTheme="minorHAnsi"/>
          <w:b/>
        </w:rPr>
        <w:t xml:space="preserve">Appendix </w:t>
      </w:r>
      <w:r>
        <w:rPr>
          <w:rFonts w:asciiTheme="minorHAnsi" w:hAnsiTheme="minorHAnsi"/>
          <w:b/>
        </w:rPr>
        <w:t>2</w:t>
      </w:r>
      <w:r w:rsidRPr="001552DE">
        <w:rPr>
          <w:rFonts w:asciiTheme="minorHAnsi" w:hAnsiTheme="minorHAnsi"/>
          <w:b/>
        </w:rPr>
        <w:t>- Bogus media reports used as manipulations in Study 3</w:t>
      </w:r>
    </w:p>
    <w:p w14:paraId="40E47B63" w14:textId="77777777" w:rsidR="00684833" w:rsidRPr="001552DE" w:rsidRDefault="00684833" w:rsidP="00684833">
      <w:pPr>
        <w:pStyle w:val="NormalWeb"/>
        <w:spacing w:before="60" w:beforeAutospacing="0" w:after="60" w:afterAutospacing="0"/>
        <w:ind w:left="60" w:right="60"/>
        <w:jc w:val="center"/>
        <w:rPr>
          <w:rFonts w:asciiTheme="minorHAnsi" w:hAnsiTheme="minorHAnsi"/>
          <w:b/>
        </w:rPr>
      </w:pPr>
    </w:p>
    <w:p w14:paraId="185E645A" w14:textId="77777777" w:rsidR="00684833" w:rsidRDefault="00684833" w:rsidP="00684833">
      <w:pPr>
        <w:pStyle w:val="NormalWeb"/>
        <w:spacing w:before="60" w:beforeAutospacing="0" w:after="60" w:afterAutospacing="0"/>
        <w:ind w:left="60" w:right="60"/>
        <w:rPr>
          <w:rFonts w:asciiTheme="minorHAnsi" w:hAnsiTheme="minorHAnsi"/>
        </w:rPr>
      </w:pPr>
    </w:p>
    <w:p w14:paraId="783C8CEF" w14:textId="77777777" w:rsidR="00684833" w:rsidRPr="001552DE" w:rsidRDefault="00684833" w:rsidP="00684833">
      <w:pPr>
        <w:rPr>
          <w:b/>
        </w:rPr>
      </w:pPr>
      <w:r w:rsidRPr="001552DE">
        <w:rPr>
          <w:b/>
        </w:rPr>
        <w:t>Instructions (prefaced all conditions):</w:t>
      </w:r>
    </w:p>
    <w:p w14:paraId="45F7AE86" w14:textId="77777777" w:rsidR="00684833" w:rsidRDefault="00684833" w:rsidP="00684833"/>
    <w:p w14:paraId="49EF34B4" w14:textId="77777777" w:rsidR="00684833" w:rsidRDefault="00684833" w:rsidP="00684833">
      <w:r>
        <w:t xml:space="preserve">In this study we are trying to assess several media reports for use in an upcoming study. </w:t>
      </w:r>
    </w:p>
    <w:p w14:paraId="78C5B80D" w14:textId="77777777" w:rsidR="00684833" w:rsidRDefault="00684833" w:rsidP="00684833"/>
    <w:p w14:paraId="5432C2AF" w14:textId="77777777" w:rsidR="00684833" w:rsidRPr="000914F8" w:rsidRDefault="00684833" w:rsidP="00684833">
      <w:pPr>
        <w:rPr>
          <w:b/>
        </w:rPr>
      </w:pPr>
      <w:r>
        <w:t xml:space="preserve">In the following section we would like to explore how people evaluate media reports related to food. Please answer the questions in regards to this article as detailed and truthfully as possible to help us evaluate the best article for future use in our studies. </w:t>
      </w:r>
      <w:r>
        <w:br w:type="page"/>
      </w:r>
      <w:r>
        <w:rPr>
          <w:b/>
        </w:rPr>
        <w:t>Genetic condition</w:t>
      </w:r>
    </w:p>
    <w:p w14:paraId="3A638612" w14:textId="77777777" w:rsidR="00684833" w:rsidRDefault="00684833" w:rsidP="00684833">
      <w:pPr>
        <w:autoSpaceDE w:val="0"/>
        <w:autoSpaceDN w:val="0"/>
        <w:adjustRightInd w:val="0"/>
        <w:spacing w:line="480" w:lineRule="auto"/>
        <w:ind w:firstLine="720"/>
      </w:pPr>
    </w:p>
    <w:p w14:paraId="171B39DB" w14:textId="77777777" w:rsidR="00684833" w:rsidRDefault="00684833" w:rsidP="00684833">
      <w:pPr>
        <w:autoSpaceDE w:val="0"/>
        <w:autoSpaceDN w:val="0"/>
        <w:adjustRightInd w:val="0"/>
        <w:spacing w:line="480" w:lineRule="auto"/>
        <w:ind w:firstLine="720"/>
      </w:pPr>
      <w:r>
        <w:t>Over the course of the past century, modern science has made extensive progress in eradicating infectious diseases such as Polio and Tuberculosis, and continues to try to find treatments for diseases such as cancer and HIV with an expected cure for them before the end of the century. Currently one of the most pressing health concerns is that of obesity. It has been called an “escalating pandemic” that continues to spread across the globe at a frightening pace. Obesity cannot be easily dismissed as it carries significant health risks for anyone affected by it.</w:t>
      </w:r>
    </w:p>
    <w:p w14:paraId="0A874DD2" w14:textId="77777777" w:rsidR="00684833" w:rsidRDefault="00684833" w:rsidP="00684833">
      <w:pPr>
        <w:autoSpaceDE w:val="0"/>
        <w:autoSpaceDN w:val="0"/>
        <w:adjustRightInd w:val="0"/>
        <w:spacing w:line="480" w:lineRule="auto"/>
        <w:ind w:firstLine="720"/>
      </w:pPr>
      <w:r>
        <w:t xml:space="preserve">Over the past decades, many solutions have been proposed to obesity.  </w:t>
      </w:r>
      <w:r>
        <w:rPr>
          <w:color w:val="000000"/>
        </w:rPr>
        <w:t>Weight loss is a</w:t>
      </w:r>
      <w:r>
        <w:rPr>
          <w:color w:val="FF0000"/>
        </w:rPr>
        <w:t xml:space="preserve"> </w:t>
      </w:r>
      <w:r>
        <w:t>big business and has grown to be a multimillion dollar industry. It largely depends on the public’s belief that obesity and associated conditions are a direct result of poor diet and exercise. This would explain why new research indicating genes to be the primary cause of obesity has received little media attention and continues to be overshadowed by outdated claims attributing the major cause of obesity to a modern lifestyle rather than genes. Unfortunately this also affects public health policy, resulting in the promotion of ineffectual solutions to the problem.</w:t>
      </w:r>
    </w:p>
    <w:p w14:paraId="03C11ACE" w14:textId="77777777" w:rsidR="00684833" w:rsidRDefault="00684833" w:rsidP="00684833">
      <w:pPr>
        <w:autoSpaceDE w:val="0"/>
        <w:autoSpaceDN w:val="0"/>
        <w:adjustRightInd w:val="0"/>
        <w:spacing w:line="480" w:lineRule="auto"/>
        <w:ind w:firstLine="720"/>
      </w:pPr>
      <w:r>
        <w:t>In 2003, Jeffrey Birkner conducted a study, which found that after a four-week maintenance diet controlling for caloric intake, fat cells had shrunk in size and the participants’ weight had decreased. However, no matter how dedicated the participants were to maintaining said weight loss, they all regained. Birkner conducted further tests and came to a startling conclusion</w:t>
      </w:r>
      <w:r>
        <w:rPr>
          <w:color w:val="000000"/>
        </w:rPr>
        <w:t>: if a person</w:t>
      </w:r>
      <w:r>
        <w:t xml:space="preserve"> lost large amounts of weight, their body appeared to show signs of starvation, with an 80 percent decrease in metabolism, in comparison to naturally thin individuals. These individuals also presented with signs of semi-starvation neurosis: dreaming and fantasizing about food, breaking the diet, hording and hiding large amounts of food and binge eating. These findings led to a study by Polly Clifton who set out to force a 25 percent weight gain in her participants. This proved to be surprisingly difficult as the participants’ metabolism increased by 50 percent once they had </w:t>
      </w:r>
      <w:r>
        <w:rPr>
          <w:color w:val="000000"/>
        </w:rPr>
        <w:t>grown heavier. After</w:t>
      </w:r>
      <w:r>
        <w:t xml:space="preserve"> the end of the forced weight gain period, the participants had no </w:t>
      </w:r>
      <w:r>
        <w:rPr>
          <w:color w:val="000000"/>
        </w:rPr>
        <w:t>trouble losing the</w:t>
      </w:r>
      <w:r>
        <w:t xml:space="preserve"> weight again. </w:t>
      </w:r>
    </w:p>
    <w:p w14:paraId="222DF614" w14:textId="77777777" w:rsidR="00684833" w:rsidRDefault="00684833" w:rsidP="00684833">
      <w:pPr>
        <w:autoSpaceDE w:val="0"/>
        <w:autoSpaceDN w:val="0"/>
        <w:adjustRightInd w:val="0"/>
        <w:spacing w:line="480" w:lineRule="auto"/>
        <w:ind w:firstLine="720"/>
      </w:pPr>
      <w:r>
        <w:t xml:space="preserve">Other studies examining data from the Danish Registry of Adoptees and the Swedish Twin Registry found that childhood family environment alone has little or no effect on an individual’s weight. It appears that 70 percent of variation in people’s weight is accounted for by inheritance, meaning that it is more strongly inherited than conditions such as mental illness, breast cancer and heart disease. These findings are supported by research conducted in recent years, implicating GATA-2 and GATA-3 Fat Genes in the development of fat tissue. Furthermore, in 2003 Kent Lloyd found that individuals born with two copies of a particular variant of the FTO gene have a 70 percent higher risk of obesity than those with the low-risk variants. Even if only one copy of the high-risk FTO variant is inherited, an individual faces a 30 percent increased risk of obesity. </w:t>
      </w:r>
    </w:p>
    <w:p w14:paraId="58461B4E" w14:textId="77777777" w:rsidR="00684833" w:rsidRDefault="00684833" w:rsidP="00684833">
      <w:pPr>
        <w:autoSpaceDE w:val="0"/>
        <w:autoSpaceDN w:val="0"/>
        <w:adjustRightInd w:val="0"/>
        <w:spacing w:line="480" w:lineRule="auto"/>
        <w:ind w:firstLine="720"/>
      </w:pPr>
      <w:r>
        <w:t xml:space="preserve">Diane Liebling suggests that for each person there is a comfortable weight range that the body gravitates to, and going much above or much below natural weight range is extremely difficult. This would suggest that individuals attempting </w:t>
      </w:r>
      <w:r>
        <w:rPr>
          <w:color w:val="000000"/>
        </w:rPr>
        <w:t>to lose</w:t>
      </w:r>
      <w:r>
        <w:t xml:space="preserve"> weight are fightin</w:t>
      </w:r>
      <w:r>
        <w:rPr>
          <w:color w:val="000000"/>
        </w:rPr>
        <w:t xml:space="preserve">g a losing battle </w:t>
      </w:r>
      <w:r>
        <w:t>unless they are committed to exist in a permanent state of starvation, which cannot be considered to be appealing or healthy. In coming years, new genetic research may help us to further understand the effects of Fat Genes such as Gene Insig2, which regulates fatty acid and cholesterol synthesis, and maybe will finally bring us closer to a cure for obesity. Until then, billions of dollars will be spent on false hopes, as exercise and healthy diet will not be able to overwrite genetics.</w:t>
      </w:r>
    </w:p>
    <w:p w14:paraId="14926877" w14:textId="77777777" w:rsidR="00684833" w:rsidRDefault="00684833" w:rsidP="00684833">
      <w:pPr>
        <w:autoSpaceDE w:val="0"/>
        <w:autoSpaceDN w:val="0"/>
        <w:adjustRightInd w:val="0"/>
      </w:pPr>
    </w:p>
    <w:p w14:paraId="4FBE4AA3" w14:textId="77777777" w:rsidR="00684833" w:rsidRDefault="00684833" w:rsidP="00684833">
      <w:pPr>
        <w:rPr>
          <w:b/>
        </w:rPr>
      </w:pPr>
      <w:r>
        <w:rPr>
          <w:b/>
        </w:rPr>
        <w:br w:type="page"/>
      </w:r>
    </w:p>
    <w:p w14:paraId="52422BE6" w14:textId="77777777" w:rsidR="00684833" w:rsidRDefault="00684833" w:rsidP="00684833">
      <w:r>
        <w:rPr>
          <w:b/>
        </w:rPr>
        <w:t>Psychos</w:t>
      </w:r>
      <w:r w:rsidRPr="000914F8">
        <w:rPr>
          <w:b/>
        </w:rPr>
        <w:t>ocial</w:t>
      </w:r>
      <w:r>
        <w:rPr>
          <w:b/>
        </w:rPr>
        <w:t xml:space="preserve"> condition</w:t>
      </w:r>
    </w:p>
    <w:p w14:paraId="4F9B0AD8" w14:textId="77777777" w:rsidR="00684833" w:rsidRDefault="00684833" w:rsidP="00684833"/>
    <w:p w14:paraId="09FBD6B7" w14:textId="77777777" w:rsidR="00684833" w:rsidRDefault="00684833" w:rsidP="00684833">
      <w:pPr>
        <w:autoSpaceDE w:val="0"/>
        <w:autoSpaceDN w:val="0"/>
        <w:adjustRightInd w:val="0"/>
        <w:spacing w:line="480" w:lineRule="auto"/>
        <w:ind w:firstLine="720"/>
      </w:pPr>
      <w:r>
        <w:t xml:space="preserve">Over the course of the past century, modern science has made extensive progress in eradicating infectious diseases such as Polio and Tuberculosis, and continues to try to find treatments for diseases such as cancer and HIV, with an expected cure for them before the end of the century. Currently one of the most pressing health concerns is that of obesity. It has been called an “escalating pandemic” that continues to spread across the developed world at a frightening pace. Obesity cannot be easily dismissed as it carries significant health risks for anyone affected by it. </w:t>
      </w:r>
    </w:p>
    <w:p w14:paraId="1D68E095" w14:textId="77777777" w:rsidR="00684833" w:rsidRDefault="00684833" w:rsidP="00684833">
      <w:pPr>
        <w:autoSpaceDE w:val="0"/>
        <w:autoSpaceDN w:val="0"/>
        <w:adjustRightInd w:val="0"/>
        <w:spacing w:line="480" w:lineRule="auto"/>
        <w:ind w:firstLine="720"/>
      </w:pPr>
      <w:r>
        <w:t>In order to find a permanent solution to the problem of obesity, researchers have focused their efforts on understanding the factors involved in the gaining and retaining of excess amounts of weight. In his study of East African baboons, Frederick Nordmann found that weight is more closely associated with the energy expended while foraging for food, rather than the baboon’s overall caloric intake. He proposes that before the industrial revolution, humans used to live an energy-intensive lifestyle which offset any potential weight gain; however, in the twenty first century, a human-created situation of abundance coupled with significantly decreased energy expenditure is having disastrous consequences. Recent surveys indicate that more than half of the adults living in developed countries are insufficiently active, resulting in fewer calories burned than consumed and putting individuals at significant risk for diabetes and other obesity-related health problems. This trend is not only limited to developed countries either, as a study by Carolyn Burkner found in 2005. Many urban areas of developing countries experience similar problems, as the introduction of television and ‘remote everything’, coupled with a lack of infrastructure, ha</w:t>
      </w:r>
      <w:r>
        <w:rPr>
          <w:color w:val="000000"/>
        </w:rPr>
        <w:t>s</w:t>
      </w:r>
      <w:r>
        <w:t xml:space="preserve"> significantly decreased the number of adults that are sufficiently active. Cities, such as Sao Paulo, report that a staggering 70 percent of their population is inactive. One can conclude that this truly is a worldwide problem that urgently needs to be addressed. </w:t>
      </w:r>
    </w:p>
    <w:p w14:paraId="5B7C6D26" w14:textId="77777777" w:rsidR="00684833" w:rsidRDefault="00684833" w:rsidP="00684833">
      <w:pPr>
        <w:autoSpaceDE w:val="0"/>
        <w:autoSpaceDN w:val="0"/>
        <w:adjustRightInd w:val="0"/>
        <w:spacing w:line="480" w:lineRule="auto"/>
        <w:ind w:firstLine="720"/>
      </w:pPr>
      <w:r>
        <w:t xml:space="preserve">In 2006, a promising research study conducted by Paul Wazniek found that obesity can actually spread from person to person, much like a virus. A detailed analysis of a social network containing more than ten thousand individuals revealed that people were most likely to be obese when a friend became obese. However, while a friend’s obesity increased one’s own likelihood of becoming obese by 57 percent, there was no effect when a neighbour gained or lost weight. This influence even remained if the friend lived hundreds of miles away, as the deciding factor was not physical proximity but rather the strength of the close personal bond between the individuals. This was reflected in the finding that best friends experienced a 171 percent increased chance of becoming obese if one of them was obese. No such effects were found for family members or one’s spouse. One explanation put forth by Wazniek suggests that friends affect each others’ perception of "fatness". This spreading process, or social contagion, could help to explain why countries such as the United States have experienced such rapid increases in obesity in recent years. </w:t>
      </w:r>
    </w:p>
    <w:p w14:paraId="4F742D69" w14:textId="77777777" w:rsidR="00684833" w:rsidRDefault="00684833" w:rsidP="00684833">
      <w:pPr>
        <w:autoSpaceDE w:val="0"/>
        <w:autoSpaceDN w:val="0"/>
        <w:adjustRightInd w:val="0"/>
        <w:spacing w:line="480" w:lineRule="auto"/>
        <w:ind w:firstLine="720"/>
      </w:pPr>
      <w:r>
        <w:t>In order to find a permanent solution to this healthcare crisis, we need to direct our attention to the environmental causes of obesity. While Wazniek’s study helps to explain why obesity spreads at such an alarming rate, it also proposes a solution to the problem. In order to prevent the further spread of obesity, we must prevent the ‘normalizing’ of fatness. Note that</w:t>
      </w:r>
      <w:r>
        <w:rPr>
          <w:color w:val="FF0000"/>
        </w:rPr>
        <w:t xml:space="preserve"> </w:t>
      </w:r>
      <w:r>
        <w:t xml:space="preserve">this is not to be mistaken as embracing the unrealistic physical ideals presented to us by the popular media. In addition, one should target not the individual but rather groups of friends when promoting physical activity and the abandonment of the comforts of a sedentary lifestyle. If obesity can spread like a social contagion, so can its antidote. </w:t>
      </w:r>
    </w:p>
    <w:p w14:paraId="36FEF07C" w14:textId="77777777" w:rsidR="00684833" w:rsidRPr="000914F8" w:rsidRDefault="00684833" w:rsidP="00684833">
      <w:pPr>
        <w:rPr>
          <w:b/>
        </w:rPr>
      </w:pPr>
      <w:r>
        <w:br w:type="page"/>
      </w:r>
      <w:r w:rsidRPr="000914F8">
        <w:rPr>
          <w:b/>
        </w:rPr>
        <w:t>Control</w:t>
      </w:r>
      <w:r>
        <w:rPr>
          <w:b/>
        </w:rPr>
        <w:t xml:space="preserve"> condition</w:t>
      </w:r>
    </w:p>
    <w:p w14:paraId="6D5C88A1" w14:textId="77777777" w:rsidR="00684833" w:rsidRDefault="00684833" w:rsidP="00684833"/>
    <w:p w14:paraId="11F2828D" w14:textId="77777777" w:rsidR="00684833" w:rsidRDefault="00684833" w:rsidP="00684833">
      <w:pPr>
        <w:spacing w:line="480" w:lineRule="auto"/>
        <w:ind w:firstLine="720"/>
      </w:pPr>
    </w:p>
    <w:p w14:paraId="1F870AA8" w14:textId="77777777" w:rsidR="00684833" w:rsidRDefault="00684833" w:rsidP="00684833">
      <w:pPr>
        <w:spacing w:line="480" w:lineRule="auto"/>
        <w:ind w:firstLine="720"/>
      </w:pPr>
      <w:r>
        <w:t xml:space="preserve">Native peoples from different parts of North America have used a wide range of agricultural techniques. Perhaps the best known is the interplanting of corn, beans, and squash together – a trio often referred to as the "three sisters." In a three sisters planting, the three partners benefit one another. Corn provides support for beans. Beans, like other legumes, have bacteria living on their roots that help them absorb nitrogen from the air and convert it to a form that plants can use. (Corn, which requires a lot of nitrogen to grow, benefits most.) The large, prickly squash leaves shade the soil, preventing weed growth, and deter animal pests. </w:t>
      </w:r>
    </w:p>
    <w:p w14:paraId="1AB081AF" w14:textId="77777777" w:rsidR="00684833" w:rsidRDefault="00684833" w:rsidP="00684833">
      <w:pPr>
        <w:spacing w:line="480" w:lineRule="auto"/>
        <w:ind w:firstLine="720"/>
      </w:pPr>
      <w:r>
        <w:t xml:space="preserve">The “three sisters” were important sources of food. In fact, corn was very important to the survival of the first English colonists during their first winters in North-eastern America. The survival of the early colonists depended on what corn they could beg, borrow or steal from the native peoples plus what they were able to grow under their guidance. </w:t>
      </w:r>
    </w:p>
    <w:p w14:paraId="006BE853" w14:textId="77777777" w:rsidR="00684833" w:rsidRDefault="00684833" w:rsidP="00684833">
      <w:pPr>
        <w:spacing w:line="480" w:lineRule="auto"/>
        <w:ind w:firstLine="720"/>
      </w:pPr>
      <w:r>
        <w:t>It is believed that corn dates back even further than the inhabitancy of native people. Corn’s origin is believed to be in the Mexican plateau or the highlands of Guatemala. Fossil pollen grains of corn have been found in drill cores of lake sediment beneath Mexico City. These sediments could be 80,000 years old or more. When Jacques Cartier visited the village of Hochelaga (now Montreal) in 1535, he noted the extensive corn fields growing in all directions. There are records of Champlain finding corn growing in the area of Georgian Bay in 1615. Archaeological studies have found that corn was grown near Campbellville, Ontario before 1200 AD.</w:t>
      </w:r>
    </w:p>
    <w:p w14:paraId="46BC7226" w14:textId="77777777" w:rsidR="00684833" w:rsidRDefault="00684833" w:rsidP="00684833">
      <w:pPr>
        <w:spacing w:line="480" w:lineRule="auto"/>
        <w:ind w:firstLine="720"/>
      </w:pPr>
      <w:r>
        <w:t>Corn belongs to the grass family. Theory suggests that at one time, each individual kernel was covered by its own floral parts similar to the kernels of oats and barley, and that the cob readily broke down into small segments. It is believed that this has allowed corn as a species to survive. The husk and cob as we know them today were gradually developed from wild varieties by the native population.</w:t>
      </w:r>
    </w:p>
    <w:p w14:paraId="4673E5E9" w14:textId="77777777" w:rsidR="00684833" w:rsidRDefault="00684833" w:rsidP="00684833">
      <w:pPr>
        <w:spacing w:line="480" w:lineRule="auto"/>
      </w:pPr>
      <w:r>
        <w:t>Native groups developed the major classes of corn that we recognize today; the types being sweet, popping, flint, flour and dent corns. Flint corn tends to have a larger grain with relatively little flour tissue in the endosperm. Flour corn is soft, floury and breaks apart readily. Dent corn is a cross between flint and flour corn and can be used for the purpose of making bread or used for wet grinding or for making hominy. Dent corn usually produces higher grain yields and to this day dominates production in North America and much of the rest of the world.</w:t>
      </w:r>
    </w:p>
    <w:p w14:paraId="6747F33C" w14:textId="77777777" w:rsidR="00684833" w:rsidRDefault="00684833" w:rsidP="00684833">
      <w:pPr>
        <w:spacing w:line="480" w:lineRule="auto"/>
        <w:ind w:firstLine="720"/>
      </w:pPr>
      <w:r>
        <w:t>From its original use as a food for man, corn now yields over one hundred by-products to industry. A few of the by-products are dyes, paints, oilcloth, oil for soaps, syrups, starches, size and glaze, corn gum (used as a rubber substitute), vegetable substitutes for lard and butter, corn cellulose in press boards and insulating materials and various chemicals.</w:t>
      </w:r>
    </w:p>
    <w:p w14:paraId="4E4B2B99" w14:textId="77777777" w:rsidR="00684833" w:rsidRDefault="00684833" w:rsidP="00684833">
      <w:pPr>
        <w:spacing w:line="480" w:lineRule="auto"/>
      </w:pPr>
      <w:r>
        <w:t>The livestock industry continues to be the largest user of corn grown. In Ontario, approximately 60% of the crop harvested is fed to livestock. Approximately 30% is used for industrial and commercial usage which leaves about 10% for the export market.</w:t>
      </w:r>
    </w:p>
    <w:p w14:paraId="34D46E84" w14:textId="77777777" w:rsidR="00684833" w:rsidRDefault="00684833" w:rsidP="00684833">
      <w:pPr>
        <w:spacing w:line="480" w:lineRule="auto"/>
        <w:ind w:firstLine="720"/>
      </w:pPr>
      <w:r>
        <w:t>Research continues to find new uses for corn. Environmentally friendly products are one such area. Corn as a renewable resource can be beneficial in making products such as ethanol fuel, ethanol windshield washer fluid, CMA (calcium magnesium acetate) road de-icer, and other degradable products made from corn starch.</w:t>
      </w:r>
    </w:p>
    <w:p w14:paraId="54A080F0" w14:textId="77777777" w:rsidR="00684833" w:rsidRDefault="00684833" w:rsidP="00684833">
      <w:pPr>
        <w:spacing w:line="480" w:lineRule="auto"/>
        <w:ind w:firstLine="720"/>
      </w:pPr>
      <w:r>
        <w:t>Corn is as important today to mankind as it was in the beginning to native peoples. According to Indian legend, corn was of divine origin - “it was the food of the gods that created the earth.”</w:t>
      </w:r>
    </w:p>
    <w:p w14:paraId="2C7F5FDD" w14:textId="77777777" w:rsidR="00684833" w:rsidRDefault="00684833" w:rsidP="00684833">
      <w:pPr>
        <w:spacing w:line="480" w:lineRule="auto"/>
      </w:pPr>
    </w:p>
    <w:p w14:paraId="2D8D719C" w14:textId="77777777" w:rsidR="00684833" w:rsidRDefault="00684833" w:rsidP="00684833"/>
    <w:p w14:paraId="264C3CB9" w14:textId="77777777" w:rsidR="00684833" w:rsidRPr="0060571F" w:rsidRDefault="00684833" w:rsidP="00684833">
      <w:pPr>
        <w:pStyle w:val="NormalWeb"/>
        <w:spacing w:before="60" w:beforeAutospacing="0" w:after="60" w:afterAutospacing="0"/>
        <w:ind w:right="60"/>
        <w:rPr>
          <w:rFonts w:asciiTheme="minorHAnsi" w:hAnsiTheme="minorHAnsi"/>
        </w:rPr>
      </w:pPr>
    </w:p>
    <w:p w14:paraId="32DB1F2B" w14:textId="77777777" w:rsidR="00AA0CD7" w:rsidRDefault="00AA0CD7" w:rsidP="006F1012">
      <w:pPr>
        <w:widowControl/>
        <w:suppressAutoHyphens w:val="0"/>
      </w:pPr>
    </w:p>
    <w:sectPr w:rsidR="00AA0CD7" w:rsidSect="009E1303">
      <w:pgSz w:w="12240" w:h="15840"/>
      <w:pgMar w:top="1134" w:right="1134" w:bottom="1134" w:left="1134" w:header="720" w:footer="720" w:gutter="0"/>
      <w:lnNumType w:countBy="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0D2B2" w14:textId="77777777" w:rsidR="004251B4" w:rsidRDefault="004251B4">
      <w:r>
        <w:separator/>
      </w:r>
    </w:p>
  </w:endnote>
  <w:endnote w:type="continuationSeparator" w:id="0">
    <w:p w14:paraId="65480CB0" w14:textId="77777777" w:rsidR="004251B4" w:rsidRDefault="0042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080E0000" w:usb2="00000010" w:usb3="00000000" w:csb0="0004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BF96F" w14:textId="77777777" w:rsidR="004251B4" w:rsidRDefault="004251B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4D8B2" w14:textId="77777777" w:rsidR="004251B4" w:rsidRDefault="004251B4">
      <w:r>
        <w:separator/>
      </w:r>
    </w:p>
  </w:footnote>
  <w:footnote w:type="continuationSeparator" w:id="0">
    <w:p w14:paraId="14C1C592" w14:textId="77777777" w:rsidR="004251B4" w:rsidRDefault="00425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E2E9C" w14:textId="77777777" w:rsidR="004251B4" w:rsidRDefault="004251B4" w:rsidP="000615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8EDED4" w14:textId="77777777" w:rsidR="004251B4" w:rsidRDefault="004251B4" w:rsidP="00647B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37C89" w14:textId="77777777" w:rsidR="004251B4" w:rsidRDefault="004251B4" w:rsidP="000615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2F6D">
      <w:rPr>
        <w:rStyle w:val="PageNumber"/>
        <w:noProof/>
      </w:rPr>
      <w:t>5</w:t>
    </w:r>
    <w:r>
      <w:rPr>
        <w:rStyle w:val="PageNumber"/>
      </w:rPr>
      <w:fldChar w:fldCharType="end"/>
    </w:r>
  </w:p>
  <w:p w14:paraId="6F7D5661" w14:textId="77777777" w:rsidR="004251B4" w:rsidRDefault="004251B4" w:rsidP="005863A7">
    <w:pPr>
      <w:pStyle w:val="Header"/>
      <w:ind w:right="360"/>
    </w:pPr>
    <w:r>
      <w:t>Learning about Obesity Genes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745953"/>
      <w:docPartObj>
        <w:docPartGallery w:val="Page Numbers (Top of Page)"/>
        <w:docPartUnique/>
      </w:docPartObj>
    </w:sdtPr>
    <w:sdtEndPr>
      <w:rPr>
        <w:noProof/>
      </w:rPr>
    </w:sdtEndPr>
    <w:sdtContent>
      <w:p w14:paraId="518CE930" w14:textId="533333BF" w:rsidR="004251B4" w:rsidRDefault="004251B4" w:rsidP="000D159F">
        <w:pPr>
          <w:pStyle w:val="Header"/>
          <w:jc w:val="right"/>
        </w:pPr>
        <w:r>
          <w:fldChar w:fldCharType="begin"/>
        </w:r>
        <w:r>
          <w:instrText xml:space="preserve"> PAGE   \* MERGEFORMAT </w:instrText>
        </w:r>
        <w:r>
          <w:fldChar w:fldCharType="separate"/>
        </w:r>
        <w:r w:rsidR="006C2F6D">
          <w:rPr>
            <w:noProof/>
          </w:rPr>
          <w:t>18</w:t>
        </w:r>
        <w:r>
          <w:rPr>
            <w:noProof/>
          </w:rPr>
          <w:fldChar w:fldCharType="end"/>
        </w:r>
      </w:p>
    </w:sdtContent>
  </w:sdt>
  <w:p w14:paraId="435B8E41" w14:textId="58550AD1" w:rsidR="004251B4" w:rsidRPr="003F2205" w:rsidRDefault="004251B4" w:rsidP="003F2205">
    <w:pPr>
      <w:pStyle w:val="Header"/>
      <w:jc w:val="right"/>
      <w:rPr>
        <w:rFonts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0E"/>
    <w:rsid w:val="00001057"/>
    <w:rsid w:val="000022F8"/>
    <w:rsid w:val="000109FB"/>
    <w:rsid w:val="00014892"/>
    <w:rsid w:val="00015D0C"/>
    <w:rsid w:val="00023AFC"/>
    <w:rsid w:val="00033B52"/>
    <w:rsid w:val="00036F77"/>
    <w:rsid w:val="000402C9"/>
    <w:rsid w:val="00050550"/>
    <w:rsid w:val="000538FC"/>
    <w:rsid w:val="000556D2"/>
    <w:rsid w:val="0006153D"/>
    <w:rsid w:val="00067724"/>
    <w:rsid w:val="00071A91"/>
    <w:rsid w:val="000755AA"/>
    <w:rsid w:val="00082FCD"/>
    <w:rsid w:val="000844F1"/>
    <w:rsid w:val="00085C21"/>
    <w:rsid w:val="0008750E"/>
    <w:rsid w:val="00095341"/>
    <w:rsid w:val="000A1083"/>
    <w:rsid w:val="000A4BD6"/>
    <w:rsid w:val="000A7548"/>
    <w:rsid w:val="000B0E0E"/>
    <w:rsid w:val="000B2D07"/>
    <w:rsid w:val="000B61F6"/>
    <w:rsid w:val="000D159F"/>
    <w:rsid w:val="000D1EA4"/>
    <w:rsid w:val="000D64BC"/>
    <w:rsid w:val="000E5D0F"/>
    <w:rsid w:val="000F7228"/>
    <w:rsid w:val="000F7AF2"/>
    <w:rsid w:val="00100B61"/>
    <w:rsid w:val="00102216"/>
    <w:rsid w:val="00107DA6"/>
    <w:rsid w:val="00117217"/>
    <w:rsid w:val="0012796D"/>
    <w:rsid w:val="00132FB6"/>
    <w:rsid w:val="00134F33"/>
    <w:rsid w:val="00140422"/>
    <w:rsid w:val="001428B4"/>
    <w:rsid w:val="00151AFC"/>
    <w:rsid w:val="00152002"/>
    <w:rsid w:val="00164CFF"/>
    <w:rsid w:val="00167917"/>
    <w:rsid w:val="00177C49"/>
    <w:rsid w:val="00186BC9"/>
    <w:rsid w:val="00195865"/>
    <w:rsid w:val="001B410C"/>
    <w:rsid w:val="001B5521"/>
    <w:rsid w:val="001C7A62"/>
    <w:rsid w:val="001C7FF7"/>
    <w:rsid w:val="001D46A8"/>
    <w:rsid w:val="001D7CC4"/>
    <w:rsid w:val="001E0E32"/>
    <w:rsid w:val="001E748F"/>
    <w:rsid w:val="00200EC2"/>
    <w:rsid w:val="002117EF"/>
    <w:rsid w:val="00212D38"/>
    <w:rsid w:val="002233BF"/>
    <w:rsid w:val="00225AE0"/>
    <w:rsid w:val="0023126F"/>
    <w:rsid w:val="00233261"/>
    <w:rsid w:val="00237BC8"/>
    <w:rsid w:val="00246F03"/>
    <w:rsid w:val="00247DE9"/>
    <w:rsid w:val="002508BE"/>
    <w:rsid w:val="00257DE9"/>
    <w:rsid w:val="00270C2B"/>
    <w:rsid w:val="002756BC"/>
    <w:rsid w:val="002859C2"/>
    <w:rsid w:val="00287810"/>
    <w:rsid w:val="002A003B"/>
    <w:rsid w:val="002A00F9"/>
    <w:rsid w:val="002A28BD"/>
    <w:rsid w:val="002A4738"/>
    <w:rsid w:val="002C0923"/>
    <w:rsid w:val="002C2975"/>
    <w:rsid w:val="002C6930"/>
    <w:rsid w:val="002D4657"/>
    <w:rsid w:val="002E0EBB"/>
    <w:rsid w:val="002F398D"/>
    <w:rsid w:val="002F6305"/>
    <w:rsid w:val="00300A4B"/>
    <w:rsid w:val="003011B6"/>
    <w:rsid w:val="0030180C"/>
    <w:rsid w:val="00313122"/>
    <w:rsid w:val="003407F4"/>
    <w:rsid w:val="0034168D"/>
    <w:rsid w:val="00345070"/>
    <w:rsid w:val="00365B0F"/>
    <w:rsid w:val="00366F2E"/>
    <w:rsid w:val="003734CF"/>
    <w:rsid w:val="00382BD8"/>
    <w:rsid w:val="00386DFC"/>
    <w:rsid w:val="00396F9E"/>
    <w:rsid w:val="003A46DE"/>
    <w:rsid w:val="003A60E2"/>
    <w:rsid w:val="003C3129"/>
    <w:rsid w:val="003C3D07"/>
    <w:rsid w:val="003C4602"/>
    <w:rsid w:val="003C59ED"/>
    <w:rsid w:val="003C7CAC"/>
    <w:rsid w:val="003D051F"/>
    <w:rsid w:val="003E190C"/>
    <w:rsid w:val="003E6A81"/>
    <w:rsid w:val="003E6A9B"/>
    <w:rsid w:val="003E74D2"/>
    <w:rsid w:val="003F2205"/>
    <w:rsid w:val="003F3D50"/>
    <w:rsid w:val="003F690E"/>
    <w:rsid w:val="00413F19"/>
    <w:rsid w:val="00417D8C"/>
    <w:rsid w:val="004251B4"/>
    <w:rsid w:val="0042733F"/>
    <w:rsid w:val="00431E33"/>
    <w:rsid w:val="004550C7"/>
    <w:rsid w:val="00465114"/>
    <w:rsid w:val="004651AE"/>
    <w:rsid w:val="00472E73"/>
    <w:rsid w:val="0047342B"/>
    <w:rsid w:val="00481457"/>
    <w:rsid w:val="00491443"/>
    <w:rsid w:val="0049358F"/>
    <w:rsid w:val="00494C9D"/>
    <w:rsid w:val="004A7D81"/>
    <w:rsid w:val="004A7E44"/>
    <w:rsid w:val="004A7E84"/>
    <w:rsid w:val="004B2A93"/>
    <w:rsid w:val="004B7D21"/>
    <w:rsid w:val="004D1870"/>
    <w:rsid w:val="004D597F"/>
    <w:rsid w:val="004D7D28"/>
    <w:rsid w:val="004F29C6"/>
    <w:rsid w:val="004F3130"/>
    <w:rsid w:val="0050132B"/>
    <w:rsid w:val="0050322B"/>
    <w:rsid w:val="00514ACA"/>
    <w:rsid w:val="00537946"/>
    <w:rsid w:val="005533E3"/>
    <w:rsid w:val="00555379"/>
    <w:rsid w:val="00556431"/>
    <w:rsid w:val="00557606"/>
    <w:rsid w:val="00563684"/>
    <w:rsid w:val="0056550A"/>
    <w:rsid w:val="00567226"/>
    <w:rsid w:val="005863A7"/>
    <w:rsid w:val="0058679F"/>
    <w:rsid w:val="005A112B"/>
    <w:rsid w:val="005A1186"/>
    <w:rsid w:val="005B7982"/>
    <w:rsid w:val="005D7CDE"/>
    <w:rsid w:val="005E64CD"/>
    <w:rsid w:val="005F3FF0"/>
    <w:rsid w:val="0060070D"/>
    <w:rsid w:val="00601AAC"/>
    <w:rsid w:val="0060213D"/>
    <w:rsid w:val="0060591A"/>
    <w:rsid w:val="00613EB6"/>
    <w:rsid w:val="00614944"/>
    <w:rsid w:val="00617C7F"/>
    <w:rsid w:val="0062110A"/>
    <w:rsid w:val="00622726"/>
    <w:rsid w:val="00624F1B"/>
    <w:rsid w:val="006276C7"/>
    <w:rsid w:val="00627CC6"/>
    <w:rsid w:val="006345A4"/>
    <w:rsid w:val="00637BF8"/>
    <w:rsid w:val="006455DC"/>
    <w:rsid w:val="00647B9D"/>
    <w:rsid w:val="006538B9"/>
    <w:rsid w:val="006543D3"/>
    <w:rsid w:val="00657A5C"/>
    <w:rsid w:val="00660E7B"/>
    <w:rsid w:val="00666A69"/>
    <w:rsid w:val="00684833"/>
    <w:rsid w:val="00696CCA"/>
    <w:rsid w:val="0069746F"/>
    <w:rsid w:val="006C2F6D"/>
    <w:rsid w:val="006C4FB2"/>
    <w:rsid w:val="006C5A02"/>
    <w:rsid w:val="006C5BDF"/>
    <w:rsid w:val="006C7E15"/>
    <w:rsid w:val="006C7E72"/>
    <w:rsid w:val="006D1A02"/>
    <w:rsid w:val="006D59E3"/>
    <w:rsid w:val="006F1012"/>
    <w:rsid w:val="00707469"/>
    <w:rsid w:val="00714853"/>
    <w:rsid w:val="00734302"/>
    <w:rsid w:val="0073585F"/>
    <w:rsid w:val="00742790"/>
    <w:rsid w:val="0074594F"/>
    <w:rsid w:val="00745EA8"/>
    <w:rsid w:val="00746ED1"/>
    <w:rsid w:val="00750529"/>
    <w:rsid w:val="00760FA0"/>
    <w:rsid w:val="00764C11"/>
    <w:rsid w:val="0077235C"/>
    <w:rsid w:val="00787149"/>
    <w:rsid w:val="00793278"/>
    <w:rsid w:val="00795795"/>
    <w:rsid w:val="00795C0A"/>
    <w:rsid w:val="007A6584"/>
    <w:rsid w:val="007C0B86"/>
    <w:rsid w:val="007C27BB"/>
    <w:rsid w:val="007C581B"/>
    <w:rsid w:val="007D1A18"/>
    <w:rsid w:val="007D264F"/>
    <w:rsid w:val="007D2783"/>
    <w:rsid w:val="007F1E17"/>
    <w:rsid w:val="007F5FFA"/>
    <w:rsid w:val="00800F8E"/>
    <w:rsid w:val="00802C51"/>
    <w:rsid w:val="00803580"/>
    <w:rsid w:val="00803C6E"/>
    <w:rsid w:val="00805039"/>
    <w:rsid w:val="008107F9"/>
    <w:rsid w:val="00823769"/>
    <w:rsid w:val="008263EF"/>
    <w:rsid w:val="00832926"/>
    <w:rsid w:val="00834222"/>
    <w:rsid w:val="00841178"/>
    <w:rsid w:val="008618C9"/>
    <w:rsid w:val="00865648"/>
    <w:rsid w:val="0087296D"/>
    <w:rsid w:val="00877CCB"/>
    <w:rsid w:val="00893758"/>
    <w:rsid w:val="008A1DBF"/>
    <w:rsid w:val="008A590D"/>
    <w:rsid w:val="008A67D6"/>
    <w:rsid w:val="008B3767"/>
    <w:rsid w:val="008B51F8"/>
    <w:rsid w:val="008B567D"/>
    <w:rsid w:val="008B74B2"/>
    <w:rsid w:val="008C716C"/>
    <w:rsid w:val="008D0987"/>
    <w:rsid w:val="008E301A"/>
    <w:rsid w:val="008E3AB9"/>
    <w:rsid w:val="008E56C7"/>
    <w:rsid w:val="008F2015"/>
    <w:rsid w:val="008F5E5C"/>
    <w:rsid w:val="00906308"/>
    <w:rsid w:val="009139AA"/>
    <w:rsid w:val="00915C70"/>
    <w:rsid w:val="00934808"/>
    <w:rsid w:val="0093631F"/>
    <w:rsid w:val="00937CAA"/>
    <w:rsid w:val="0094039A"/>
    <w:rsid w:val="0094216B"/>
    <w:rsid w:val="009443AF"/>
    <w:rsid w:val="00944A28"/>
    <w:rsid w:val="0095458B"/>
    <w:rsid w:val="00957167"/>
    <w:rsid w:val="00962B13"/>
    <w:rsid w:val="0096756A"/>
    <w:rsid w:val="00980F50"/>
    <w:rsid w:val="00983D20"/>
    <w:rsid w:val="009908C2"/>
    <w:rsid w:val="009A1E61"/>
    <w:rsid w:val="009B6DB2"/>
    <w:rsid w:val="009C7A62"/>
    <w:rsid w:val="009E1303"/>
    <w:rsid w:val="009F2094"/>
    <w:rsid w:val="009F4320"/>
    <w:rsid w:val="00A01EAF"/>
    <w:rsid w:val="00A02DC3"/>
    <w:rsid w:val="00A10502"/>
    <w:rsid w:val="00A11B68"/>
    <w:rsid w:val="00A11E44"/>
    <w:rsid w:val="00A25464"/>
    <w:rsid w:val="00A50483"/>
    <w:rsid w:val="00A63F55"/>
    <w:rsid w:val="00A716EC"/>
    <w:rsid w:val="00A819D6"/>
    <w:rsid w:val="00A93948"/>
    <w:rsid w:val="00A96E3D"/>
    <w:rsid w:val="00AA05E8"/>
    <w:rsid w:val="00AA0CD7"/>
    <w:rsid w:val="00AA1331"/>
    <w:rsid w:val="00AB22FC"/>
    <w:rsid w:val="00AB2B1E"/>
    <w:rsid w:val="00AC2643"/>
    <w:rsid w:val="00AD0B91"/>
    <w:rsid w:val="00AD41B8"/>
    <w:rsid w:val="00AE12AC"/>
    <w:rsid w:val="00AE4823"/>
    <w:rsid w:val="00B03E5F"/>
    <w:rsid w:val="00B12297"/>
    <w:rsid w:val="00B15CCC"/>
    <w:rsid w:val="00B16851"/>
    <w:rsid w:val="00B17ED0"/>
    <w:rsid w:val="00B37D1C"/>
    <w:rsid w:val="00B415C8"/>
    <w:rsid w:val="00B4323F"/>
    <w:rsid w:val="00B535D7"/>
    <w:rsid w:val="00B544A3"/>
    <w:rsid w:val="00B555B3"/>
    <w:rsid w:val="00B55C46"/>
    <w:rsid w:val="00B60939"/>
    <w:rsid w:val="00B62FB2"/>
    <w:rsid w:val="00B7462F"/>
    <w:rsid w:val="00B821DA"/>
    <w:rsid w:val="00B83C5A"/>
    <w:rsid w:val="00BB25EC"/>
    <w:rsid w:val="00BB2616"/>
    <w:rsid w:val="00BB5557"/>
    <w:rsid w:val="00BC53E4"/>
    <w:rsid w:val="00BE4BFD"/>
    <w:rsid w:val="00BF574E"/>
    <w:rsid w:val="00C029D1"/>
    <w:rsid w:val="00C16172"/>
    <w:rsid w:val="00C16812"/>
    <w:rsid w:val="00C170D2"/>
    <w:rsid w:val="00C279C6"/>
    <w:rsid w:val="00C37E74"/>
    <w:rsid w:val="00C44E4E"/>
    <w:rsid w:val="00C51B8A"/>
    <w:rsid w:val="00C5517D"/>
    <w:rsid w:val="00C607F8"/>
    <w:rsid w:val="00C60AA8"/>
    <w:rsid w:val="00C660FD"/>
    <w:rsid w:val="00C66BF6"/>
    <w:rsid w:val="00C700D0"/>
    <w:rsid w:val="00C710BB"/>
    <w:rsid w:val="00C73B78"/>
    <w:rsid w:val="00C7756E"/>
    <w:rsid w:val="00C80627"/>
    <w:rsid w:val="00C913C8"/>
    <w:rsid w:val="00C92BE2"/>
    <w:rsid w:val="00C9348C"/>
    <w:rsid w:val="00C96190"/>
    <w:rsid w:val="00C97214"/>
    <w:rsid w:val="00CA3C75"/>
    <w:rsid w:val="00CA63C2"/>
    <w:rsid w:val="00CA7C31"/>
    <w:rsid w:val="00CC4858"/>
    <w:rsid w:val="00CD1E3F"/>
    <w:rsid w:val="00CE0F21"/>
    <w:rsid w:val="00CE4B7A"/>
    <w:rsid w:val="00CE6755"/>
    <w:rsid w:val="00CF2B67"/>
    <w:rsid w:val="00D01AE0"/>
    <w:rsid w:val="00D078D3"/>
    <w:rsid w:val="00D14140"/>
    <w:rsid w:val="00D174CB"/>
    <w:rsid w:val="00D21578"/>
    <w:rsid w:val="00D21806"/>
    <w:rsid w:val="00D241D6"/>
    <w:rsid w:val="00D46FF1"/>
    <w:rsid w:val="00D525B9"/>
    <w:rsid w:val="00D5721D"/>
    <w:rsid w:val="00D63850"/>
    <w:rsid w:val="00D728A7"/>
    <w:rsid w:val="00D737ED"/>
    <w:rsid w:val="00D7720B"/>
    <w:rsid w:val="00D87337"/>
    <w:rsid w:val="00D97511"/>
    <w:rsid w:val="00DA3111"/>
    <w:rsid w:val="00DA4EF6"/>
    <w:rsid w:val="00DA6F6E"/>
    <w:rsid w:val="00DA7DE6"/>
    <w:rsid w:val="00DB0CE5"/>
    <w:rsid w:val="00DC2B06"/>
    <w:rsid w:val="00DC4560"/>
    <w:rsid w:val="00DD028A"/>
    <w:rsid w:val="00DD04E0"/>
    <w:rsid w:val="00DD13D9"/>
    <w:rsid w:val="00DD73D7"/>
    <w:rsid w:val="00DE3700"/>
    <w:rsid w:val="00DE4040"/>
    <w:rsid w:val="00DE4128"/>
    <w:rsid w:val="00DE7DCB"/>
    <w:rsid w:val="00DF0988"/>
    <w:rsid w:val="00DF15BD"/>
    <w:rsid w:val="00DF6D69"/>
    <w:rsid w:val="00E061A8"/>
    <w:rsid w:val="00E07A1F"/>
    <w:rsid w:val="00E10FB5"/>
    <w:rsid w:val="00E2440D"/>
    <w:rsid w:val="00E32874"/>
    <w:rsid w:val="00E349B8"/>
    <w:rsid w:val="00E34F1D"/>
    <w:rsid w:val="00E36C09"/>
    <w:rsid w:val="00E36EFA"/>
    <w:rsid w:val="00E41E40"/>
    <w:rsid w:val="00E420EB"/>
    <w:rsid w:val="00E44E24"/>
    <w:rsid w:val="00E549F8"/>
    <w:rsid w:val="00E650E8"/>
    <w:rsid w:val="00E71EF2"/>
    <w:rsid w:val="00E80112"/>
    <w:rsid w:val="00E80A3E"/>
    <w:rsid w:val="00E82663"/>
    <w:rsid w:val="00E8470F"/>
    <w:rsid w:val="00E94969"/>
    <w:rsid w:val="00E97F88"/>
    <w:rsid w:val="00EA188E"/>
    <w:rsid w:val="00EA4BFC"/>
    <w:rsid w:val="00EA5BFF"/>
    <w:rsid w:val="00EE56F1"/>
    <w:rsid w:val="00EE685A"/>
    <w:rsid w:val="00EF3F88"/>
    <w:rsid w:val="00F012E2"/>
    <w:rsid w:val="00F01619"/>
    <w:rsid w:val="00F03C84"/>
    <w:rsid w:val="00F115C2"/>
    <w:rsid w:val="00F164E0"/>
    <w:rsid w:val="00F17A33"/>
    <w:rsid w:val="00F24CCD"/>
    <w:rsid w:val="00F421E6"/>
    <w:rsid w:val="00F44644"/>
    <w:rsid w:val="00F45EFC"/>
    <w:rsid w:val="00F50217"/>
    <w:rsid w:val="00F65E24"/>
    <w:rsid w:val="00F70646"/>
    <w:rsid w:val="00F716AD"/>
    <w:rsid w:val="00F93A2F"/>
    <w:rsid w:val="00F95764"/>
    <w:rsid w:val="00F95E46"/>
    <w:rsid w:val="00F97455"/>
    <w:rsid w:val="00FA5256"/>
    <w:rsid w:val="00FA7A77"/>
    <w:rsid w:val="00FD2819"/>
    <w:rsid w:val="00FE1349"/>
    <w:rsid w:val="00FE14B0"/>
    <w:rsid w:val="00FF1CD6"/>
    <w:rsid w:val="00FF2FE2"/>
    <w:rsid w:val="00FF3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D8A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4CB"/>
    <w:pPr>
      <w:widowControl w:val="0"/>
      <w:suppressAutoHyphens/>
    </w:pPr>
    <w:rPr>
      <w:rFonts w:eastAsia="SimSun" w:cs="Tahoma"/>
      <w:kern w:val="1"/>
      <w:sz w:val="24"/>
      <w:szCs w:val="24"/>
      <w:lang w:val="en-US" w:eastAsia="he-IL" w:bidi="he-IL"/>
    </w:rPr>
  </w:style>
  <w:style w:type="paragraph" w:styleId="Heading1">
    <w:name w:val="heading 1"/>
    <w:basedOn w:val="Normal"/>
    <w:next w:val="Normal"/>
    <w:link w:val="Heading1Char"/>
    <w:uiPriority w:val="9"/>
    <w:qFormat/>
    <w:rsid w:val="002117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qFormat/>
    <w:rsid w:val="00D174CB"/>
    <w:pPr>
      <w:widowControl/>
      <w:numPr>
        <w:ilvl w:val="1"/>
        <w:numId w:val="1"/>
      </w:numPr>
      <w:tabs>
        <w:tab w:val="left" w:pos="576"/>
      </w:tabs>
      <w:spacing w:before="280" w:after="280"/>
      <w:outlineLvl w:val="1"/>
    </w:pPr>
    <w:rPr>
      <w:rFonts w:cs="Times New Roman"/>
      <w:b/>
      <w:bCs/>
      <w:sz w:val="36"/>
      <w:szCs w:val="36"/>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174CB"/>
  </w:style>
  <w:style w:type="character" w:customStyle="1" w:styleId="WW-DefaultParagraphFont">
    <w:name w:val="WW-Default Paragraph Font"/>
    <w:rsid w:val="00D174CB"/>
  </w:style>
  <w:style w:type="character" w:customStyle="1" w:styleId="WW-Absatz-Standardschriftart">
    <w:name w:val="WW-Absatz-Standardschriftart"/>
    <w:rsid w:val="00D174CB"/>
  </w:style>
  <w:style w:type="character" w:styleId="Hyperlink">
    <w:name w:val="Hyperlink"/>
    <w:rsid w:val="00D174CB"/>
    <w:rPr>
      <w:color w:val="000080"/>
      <w:u w:val="single"/>
    </w:rPr>
  </w:style>
  <w:style w:type="character" w:customStyle="1" w:styleId="apple-style-span">
    <w:name w:val="apple-style-span"/>
    <w:basedOn w:val="WW-DefaultParagraphFont"/>
    <w:rsid w:val="00D174CB"/>
  </w:style>
  <w:style w:type="character" w:styleId="CommentReference">
    <w:name w:val="annotation reference"/>
    <w:basedOn w:val="DefaultParagraphFont"/>
    <w:uiPriority w:val="99"/>
    <w:rsid w:val="00D174CB"/>
    <w:rPr>
      <w:sz w:val="16"/>
      <w:szCs w:val="16"/>
    </w:rPr>
  </w:style>
  <w:style w:type="character" w:customStyle="1" w:styleId="apple-converted-space">
    <w:name w:val="apple-converted-space"/>
    <w:basedOn w:val="DefaultParagraphFont"/>
    <w:rsid w:val="00D174CB"/>
  </w:style>
  <w:style w:type="character" w:customStyle="1" w:styleId="medium-font">
    <w:name w:val="medium-font"/>
    <w:basedOn w:val="DefaultParagraphFont"/>
    <w:rsid w:val="00D174CB"/>
  </w:style>
  <w:style w:type="character" w:customStyle="1" w:styleId="medium-normal">
    <w:name w:val="medium-normal"/>
    <w:basedOn w:val="DefaultParagraphFont"/>
    <w:rsid w:val="00D174CB"/>
  </w:style>
  <w:style w:type="character" w:styleId="PageNumber">
    <w:name w:val="page number"/>
    <w:basedOn w:val="DefaultParagraphFont"/>
    <w:rsid w:val="00D174CB"/>
  </w:style>
  <w:style w:type="character" w:styleId="Emphasis">
    <w:name w:val="Emphasis"/>
    <w:basedOn w:val="DefaultParagraphFont"/>
    <w:uiPriority w:val="20"/>
    <w:qFormat/>
    <w:rsid w:val="00D174CB"/>
    <w:rPr>
      <w:i/>
    </w:rPr>
  </w:style>
  <w:style w:type="character" w:customStyle="1" w:styleId="CharChar2">
    <w:name w:val="Char Char2"/>
    <w:basedOn w:val="DefaultParagraphFont"/>
    <w:rsid w:val="00D174CB"/>
    <w:rPr>
      <w:rFonts w:eastAsia="SimSun"/>
      <w:b/>
      <w:bCs/>
      <w:sz w:val="36"/>
      <w:szCs w:val="36"/>
    </w:rPr>
  </w:style>
  <w:style w:type="character" w:styleId="HTMLCite">
    <w:name w:val="HTML Cite"/>
    <w:basedOn w:val="DefaultParagraphFont"/>
    <w:rsid w:val="00D174CB"/>
    <w:rPr>
      <w:i/>
      <w:iCs/>
    </w:rPr>
  </w:style>
  <w:style w:type="character" w:customStyle="1" w:styleId="author">
    <w:name w:val="author"/>
    <w:basedOn w:val="DefaultParagraphFont"/>
    <w:rsid w:val="00D174CB"/>
  </w:style>
  <w:style w:type="character" w:customStyle="1" w:styleId="articletitle">
    <w:name w:val="articletitle"/>
    <w:basedOn w:val="DefaultParagraphFont"/>
    <w:rsid w:val="00D174CB"/>
  </w:style>
  <w:style w:type="character" w:customStyle="1" w:styleId="journaltitle">
    <w:name w:val="journaltitle"/>
    <w:basedOn w:val="DefaultParagraphFont"/>
    <w:rsid w:val="00D174CB"/>
  </w:style>
  <w:style w:type="character" w:customStyle="1" w:styleId="pubyear">
    <w:name w:val="pubyear"/>
    <w:basedOn w:val="DefaultParagraphFont"/>
    <w:rsid w:val="00D174CB"/>
  </w:style>
  <w:style w:type="character" w:customStyle="1" w:styleId="vol">
    <w:name w:val="vol"/>
    <w:basedOn w:val="DefaultParagraphFont"/>
    <w:rsid w:val="00D174CB"/>
  </w:style>
  <w:style w:type="character" w:customStyle="1" w:styleId="pagefirst">
    <w:name w:val="pagefirst"/>
    <w:basedOn w:val="DefaultParagraphFont"/>
    <w:rsid w:val="00D174CB"/>
  </w:style>
  <w:style w:type="character" w:styleId="Strong">
    <w:name w:val="Strong"/>
    <w:basedOn w:val="DefaultParagraphFont"/>
    <w:qFormat/>
    <w:rsid w:val="00D174CB"/>
    <w:rPr>
      <w:b/>
      <w:bCs/>
    </w:rPr>
  </w:style>
  <w:style w:type="character" w:customStyle="1" w:styleId="CharChar1">
    <w:name w:val="Char Char1"/>
    <w:basedOn w:val="DefaultParagraphFont"/>
    <w:rsid w:val="00D174CB"/>
    <w:rPr>
      <w:rFonts w:eastAsia="SimSun" w:cs="Tahoma"/>
      <w:kern w:val="1"/>
      <w:sz w:val="24"/>
      <w:szCs w:val="24"/>
      <w:lang w:eastAsia="he-IL" w:bidi="he-IL"/>
    </w:rPr>
  </w:style>
  <w:style w:type="character" w:customStyle="1" w:styleId="CharChar">
    <w:name w:val="Char Char"/>
    <w:basedOn w:val="DefaultParagraphFont"/>
    <w:rsid w:val="00D174CB"/>
    <w:rPr>
      <w:rFonts w:eastAsia="SimSun" w:cs="Tahoma"/>
      <w:kern w:val="1"/>
      <w:sz w:val="24"/>
      <w:szCs w:val="24"/>
      <w:lang w:eastAsia="he-IL" w:bidi="he-IL"/>
    </w:rPr>
  </w:style>
  <w:style w:type="paragraph" w:customStyle="1" w:styleId="Heading">
    <w:name w:val="Heading"/>
    <w:basedOn w:val="Normal"/>
    <w:next w:val="BodyText"/>
    <w:rsid w:val="00D174CB"/>
    <w:pPr>
      <w:keepNext/>
      <w:spacing w:before="240" w:after="120"/>
    </w:pPr>
    <w:rPr>
      <w:rFonts w:ascii="Arial" w:hAnsi="Arial"/>
      <w:sz w:val="28"/>
      <w:szCs w:val="28"/>
    </w:rPr>
  </w:style>
  <w:style w:type="paragraph" w:styleId="BodyText">
    <w:name w:val="Body Text"/>
    <w:basedOn w:val="Normal"/>
    <w:rsid w:val="00D174CB"/>
    <w:pPr>
      <w:spacing w:after="120"/>
    </w:pPr>
  </w:style>
  <w:style w:type="paragraph" w:styleId="List">
    <w:name w:val="List"/>
    <w:basedOn w:val="BodyText"/>
    <w:rsid w:val="00D174CB"/>
  </w:style>
  <w:style w:type="paragraph" w:styleId="Caption">
    <w:name w:val="caption"/>
    <w:basedOn w:val="Normal"/>
    <w:qFormat/>
    <w:rsid w:val="00D174CB"/>
    <w:pPr>
      <w:suppressLineNumbers/>
      <w:spacing w:before="120" w:after="120"/>
    </w:pPr>
    <w:rPr>
      <w:i/>
      <w:iCs/>
    </w:rPr>
  </w:style>
  <w:style w:type="paragraph" w:customStyle="1" w:styleId="Index">
    <w:name w:val="Index"/>
    <w:basedOn w:val="Normal"/>
    <w:rsid w:val="00D174CB"/>
    <w:pPr>
      <w:suppressLineNumbers/>
    </w:pPr>
  </w:style>
  <w:style w:type="paragraph" w:customStyle="1" w:styleId="TableContents">
    <w:name w:val="Table Contents"/>
    <w:basedOn w:val="Normal"/>
    <w:rsid w:val="00D174CB"/>
    <w:pPr>
      <w:suppressLineNumbers/>
    </w:pPr>
  </w:style>
  <w:style w:type="paragraph" w:customStyle="1" w:styleId="TableHeading">
    <w:name w:val="Table Heading"/>
    <w:basedOn w:val="TableContents"/>
    <w:rsid w:val="00D174CB"/>
    <w:pPr>
      <w:jc w:val="center"/>
    </w:pPr>
    <w:rPr>
      <w:b/>
      <w:bCs/>
    </w:rPr>
  </w:style>
  <w:style w:type="paragraph" w:styleId="CommentText">
    <w:name w:val="annotation text"/>
    <w:basedOn w:val="Normal"/>
    <w:link w:val="CommentTextChar"/>
    <w:uiPriority w:val="99"/>
    <w:rsid w:val="00D174CB"/>
    <w:rPr>
      <w:sz w:val="20"/>
      <w:szCs w:val="20"/>
    </w:rPr>
  </w:style>
  <w:style w:type="paragraph" w:styleId="CommentSubject">
    <w:name w:val="annotation subject"/>
    <w:basedOn w:val="CommentText"/>
    <w:next w:val="CommentText"/>
    <w:rsid w:val="00D174CB"/>
    <w:rPr>
      <w:b/>
      <w:bCs/>
    </w:rPr>
  </w:style>
  <w:style w:type="paragraph" w:styleId="BalloonText">
    <w:name w:val="Balloon Text"/>
    <w:basedOn w:val="Normal"/>
    <w:rsid w:val="00D174CB"/>
    <w:rPr>
      <w:rFonts w:ascii="Tahoma" w:hAnsi="Tahoma"/>
      <w:sz w:val="16"/>
      <w:szCs w:val="16"/>
    </w:rPr>
  </w:style>
  <w:style w:type="paragraph" w:styleId="Header">
    <w:name w:val="header"/>
    <w:basedOn w:val="Normal"/>
    <w:link w:val="HeaderChar"/>
    <w:uiPriority w:val="99"/>
    <w:rsid w:val="00D174CB"/>
    <w:pPr>
      <w:tabs>
        <w:tab w:val="center" w:pos="4680"/>
        <w:tab w:val="right" w:pos="9360"/>
      </w:tabs>
    </w:pPr>
  </w:style>
  <w:style w:type="paragraph" w:styleId="Footer">
    <w:name w:val="footer"/>
    <w:basedOn w:val="Normal"/>
    <w:rsid w:val="00D174CB"/>
    <w:pPr>
      <w:tabs>
        <w:tab w:val="center" w:pos="4680"/>
        <w:tab w:val="right" w:pos="9360"/>
      </w:tabs>
    </w:pPr>
  </w:style>
  <w:style w:type="character" w:customStyle="1" w:styleId="CommentTextChar">
    <w:name w:val="Comment Text Char"/>
    <w:basedOn w:val="DefaultParagraphFont"/>
    <w:link w:val="CommentText"/>
    <w:uiPriority w:val="99"/>
    <w:rsid w:val="00D21806"/>
    <w:rPr>
      <w:rFonts w:eastAsia="SimSun" w:cs="Tahoma"/>
      <w:kern w:val="1"/>
      <w:lang w:val="en-US" w:eastAsia="he-IL" w:bidi="he-IL"/>
    </w:rPr>
  </w:style>
  <w:style w:type="table" w:styleId="TableGrid">
    <w:name w:val="Table Grid"/>
    <w:basedOn w:val="TableNormal"/>
    <w:uiPriority w:val="59"/>
    <w:rsid w:val="0049358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4594F"/>
    <w:rPr>
      <w:rFonts w:eastAsia="SimSun" w:cs="Tahoma"/>
      <w:kern w:val="1"/>
      <w:sz w:val="24"/>
      <w:szCs w:val="24"/>
      <w:lang w:val="en-US" w:eastAsia="he-IL" w:bidi="he-IL"/>
    </w:rPr>
  </w:style>
  <w:style w:type="character" w:customStyle="1" w:styleId="Heading1Char">
    <w:name w:val="Heading 1 Char"/>
    <w:basedOn w:val="DefaultParagraphFont"/>
    <w:link w:val="Heading1"/>
    <w:uiPriority w:val="9"/>
    <w:rsid w:val="002117EF"/>
    <w:rPr>
      <w:rFonts w:asciiTheme="majorHAnsi" w:eastAsiaTheme="majorEastAsia" w:hAnsiTheme="majorHAnsi" w:cstheme="majorBidi"/>
      <w:b/>
      <w:bCs/>
      <w:color w:val="365F91" w:themeColor="accent1" w:themeShade="BF"/>
      <w:kern w:val="1"/>
      <w:sz w:val="28"/>
      <w:szCs w:val="28"/>
      <w:lang w:val="en-US" w:eastAsia="he-IL" w:bidi="he-IL"/>
    </w:rPr>
  </w:style>
  <w:style w:type="character" w:styleId="LineNumber">
    <w:name w:val="line number"/>
    <w:basedOn w:val="DefaultParagraphFont"/>
    <w:uiPriority w:val="99"/>
    <w:semiHidden/>
    <w:unhideWhenUsed/>
    <w:rsid w:val="00CE6755"/>
  </w:style>
  <w:style w:type="character" w:customStyle="1" w:styleId="HeaderChar">
    <w:name w:val="Header Char"/>
    <w:basedOn w:val="DefaultParagraphFont"/>
    <w:link w:val="Header"/>
    <w:uiPriority w:val="99"/>
    <w:rsid w:val="000D159F"/>
    <w:rPr>
      <w:rFonts w:eastAsia="SimSun" w:cs="Tahoma"/>
      <w:kern w:val="1"/>
      <w:sz w:val="24"/>
      <w:szCs w:val="24"/>
      <w:lang w:val="en-US" w:eastAsia="he-IL" w:bidi="he-IL"/>
    </w:rPr>
  </w:style>
  <w:style w:type="paragraph" w:styleId="NormalWeb">
    <w:name w:val="Normal (Web)"/>
    <w:basedOn w:val="Normal"/>
    <w:uiPriority w:val="99"/>
    <w:unhideWhenUsed/>
    <w:rsid w:val="00684833"/>
    <w:pPr>
      <w:widowControl/>
      <w:suppressAutoHyphens w:val="0"/>
      <w:spacing w:before="100" w:beforeAutospacing="1" w:after="100" w:afterAutospacing="1"/>
    </w:pPr>
    <w:rPr>
      <w:rFonts w:eastAsia="Times New Roman" w:cs="Times New Roman"/>
      <w:kern w:val="0"/>
      <w:lang w:val="en-AU" w:eastAsia="en-AU"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4CB"/>
    <w:pPr>
      <w:widowControl w:val="0"/>
      <w:suppressAutoHyphens/>
    </w:pPr>
    <w:rPr>
      <w:rFonts w:eastAsia="SimSun" w:cs="Tahoma"/>
      <w:kern w:val="1"/>
      <w:sz w:val="24"/>
      <w:szCs w:val="24"/>
      <w:lang w:val="en-US" w:eastAsia="he-IL" w:bidi="he-IL"/>
    </w:rPr>
  </w:style>
  <w:style w:type="paragraph" w:styleId="Heading1">
    <w:name w:val="heading 1"/>
    <w:basedOn w:val="Normal"/>
    <w:next w:val="Normal"/>
    <w:link w:val="Heading1Char"/>
    <w:uiPriority w:val="9"/>
    <w:qFormat/>
    <w:rsid w:val="002117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qFormat/>
    <w:rsid w:val="00D174CB"/>
    <w:pPr>
      <w:widowControl/>
      <w:numPr>
        <w:ilvl w:val="1"/>
        <w:numId w:val="1"/>
      </w:numPr>
      <w:tabs>
        <w:tab w:val="left" w:pos="576"/>
      </w:tabs>
      <w:spacing w:before="280" w:after="280"/>
      <w:outlineLvl w:val="1"/>
    </w:pPr>
    <w:rPr>
      <w:rFonts w:cs="Times New Roman"/>
      <w:b/>
      <w:bCs/>
      <w:sz w:val="36"/>
      <w:szCs w:val="36"/>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174CB"/>
  </w:style>
  <w:style w:type="character" w:customStyle="1" w:styleId="WW-DefaultParagraphFont">
    <w:name w:val="WW-Default Paragraph Font"/>
    <w:rsid w:val="00D174CB"/>
  </w:style>
  <w:style w:type="character" w:customStyle="1" w:styleId="WW-Absatz-Standardschriftart">
    <w:name w:val="WW-Absatz-Standardschriftart"/>
    <w:rsid w:val="00D174CB"/>
  </w:style>
  <w:style w:type="character" w:styleId="Hyperlink">
    <w:name w:val="Hyperlink"/>
    <w:rsid w:val="00D174CB"/>
    <w:rPr>
      <w:color w:val="000080"/>
      <w:u w:val="single"/>
    </w:rPr>
  </w:style>
  <w:style w:type="character" w:customStyle="1" w:styleId="apple-style-span">
    <w:name w:val="apple-style-span"/>
    <w:basedOn w:val="WW-DefaultParagraphFont"/>
    <w:rsid w:val="00D174CB"/>
  </w:style>
  <w:style w:type="character" w:styleId="CommentReference">
    <w:name w:val="annotation reference"/>
    <w:basedOn w:val="DefaultParagraphFont"/>
    <w:uiPriority w:val="99"/>
    <w:rsid w:val="00D174CB"/>
    <w:rPr>
      <w:sz w:val="16"/>
      <w:szCs w:val="16"/>
    </w:rPr>
  </w:style>
  <w:style w:type="character" w:customStyle="1" w:styleId="apple-converted-space">
    <w:name w:val="apple-converted-space"/>
    <w:basedOn w:val="DefaultParagraphFont"/>
    <w:rsid w:val="00D174CB"/>
  </w:style>
  <w:style w:type="character" w:customStyle="1" w:styleId="medium-font">
    <w:name w:val="medium-font"/>
    <w:basedOn w:val="DefaultParagraphFont"/>
    <w:rsid w:val="00D174CB"/>
  </w:style>
  <w:style w:type="character" w:customStyle="1" w:styleId="medium-normal">
    <w:name w:val="medium-normal"/>
    <w:basedOn w:val="DefaultParagraphFont"/>
    <w:rsid w:val="00D174CB"/>
  </w:style>
  <w:style w:type="character" w:styleId="PageNumber">
    <w:name w:val="page number"/>
    <w:basedOn w:val="DefaultParagraphFont"/>
    <w:rsid w:val="00D174CB"/>
  </w:style>
  <w:style w:type="character" w:styleId="Emphasis">
    <w:name w:val="Emphasis"/>
    <w:basedOn w:val="DefaultParagraphFont"/>
    <w:uiPriority w:val="20"/>
    <w:qFormat/>
    <w:rsid w:val="00D174CB"/>
    <w:rPr>
      <w:i/>
    </w:rPr>
  </w:style>
  <w:style w:type="character" w:customStyle="1" w:styleId="CharChar2">
    <w:name w:val="Char Char2"/>
    <w:basedOn w:val="DefaultParagraphFont"/>
    <w:rsid w:val="00D174CB"/>
    <w:rPr>
      <w:rFonts w:eastAsia="SimSun"/>
      <w:b/>
      <w:bCs/>
      <w:sz w:val="36"/>
      <w:szCs w:val="36"/>
    </w:rPr>
  </w:style>
  <w:style w:type="character" w:styleId="HTMLCite">
    <w:name w:val="HTML Cite"/>
    <w:basedOn w:val="DefaultParagraphFont"/>
    <w:rsid w:val="00D174CB"/>
    <w:rPr>
      <w:i/>
      <w:iCs/>
    </w:rPr>
  </w:style>
  <w:style w:type="character" w:customStyle="1" w:styleId="author">
    <w:name w:val="author"/>
    <w:basedOn w:val="DefaultParagraphFont"/>
    <w:rsid w:val="00D174CB"/>
  </w:style>
  <w:style w:type="character" w:customStyle="1" w:styleId="articletitle">
    <w:name w:val="articletitle"/>
    <w:basedOn w:val="DefaultParagraphFont"/>
    <w:rsid w:val="00D174CB"/>
  </w:style>
  <w:style w:type="character" w:customStyle="1" w:styleId="journaltitle">
    <w:name w:val="journaltitle"/>
    <w:basedOn w:val="DefaultParagraphFont"/>
    <w:rsid w:val="00D174CB"/>
  </w:style>
  <w:style w:type="character" w:customStyle="1" w:styleId="pubyear">
    <w:name w:val="pubyear"/>
    <w:basedOn w:val="DefaultParagraphFont"/>
    <w:rsid w:val="00D174CB"/>
  </w:style>
  <w:style w:type="character" w:customStyle="1" w:styleId="vol">
    <w:name w:val="vol"/>
    <w:basedOn w:val="DefaultParagraphFont"/>
    <w:rsid w:val="00D174CB"/>
  </w:style>
  <w:style w:type="character" w:customStyle="1" w:styleId="pagefirst">
    <w:name w:val="pagefirst"/>
    <w:basedOn w:val="DefaultParagraphFont"/>
    <w:rsid w:val="00D174CB"/>
  </w:style>
  <w:style w:type="character" w:styleId="Strong">
    <w:name w:val="Strong"/>
    <w:basedOn w:val="DefaultParagraphFont"/>
    <w:qFormat/>
    <w:rsid w:val="00D174CB"/>
    <w:rPr>
      <w:b/>
      <w:bCs/>
    </w:rPr>
  </w:style>
  <w:style w:type="character" w:customStyle="1" w:styleId="CharChar1">
    <w:name w:val="Char Char1"/>
    <w:basedOn w:val="DefaultParagraphFont"/>
    <w:rsid w:val="00D174CB"/>
    <w:rPr>
      <w:rFonts w:eastAsia="SimSun" w:cs="Tahoma"/>
      <w:kern w:val="1"/>
      <w:sz w:val="24"/>
      <w:szCs w:val="24"/>
      <w:lang w:eastAsia="he-IL" w:bidi="he-IL"/>
    </w:rPr>
  </w:style>
  <w:style w:type="character" w:customStyle="1" w:styleId="CharChar">
    <w:name w:val="Char Char"/>
    <w:basedOn w:val="DefaultParagraphFont"/>
    <w:rsid w:val="00D174CB"/>
    <w:rPr>
      <w:rFonts w:eastAsia="SimSun" w:cs="Tahoma"/>
      <w:kern w:val="1"/>
      <w:sz w:val="24"/>
      <w:szCs w:val="24"/>
      <w:lang w:eastAsia="he-IL" w:bidi="he-IL"/>
    </w:rPr>
  </w:style>
  <w:style w:type="paragraph" w:customStyle="1" w:styleId="Heading">
    <w:name w:val="Heading"/>
    <w:basedOn w:val="Normal"/>
    <w:next w:val="BodyText"/>
    <w:rsid w:val="00D174CB"/>
    <w:pPr>
      <w:keepNext/>
      <w:spacing w:before="240" w:after="120"/>
    </w:pPr>
    <w:rPr>
      <w:rFonts w:ascii="Arial" w:hAnsi="Arial"/>
      <w:sz w:val="28"/>
      <w:szCs w:val="28"/>
    </w:rPr>
  </w:style>
  <w:style w:type="paragraph" w:styleId="BodyText">
    <w:name w:val="Body Text"/>
    <w:basedOn w:val="Normal"/>
    <w:rsid w:val="00D174CB"/>
    <w:pPr>
      <w:spacing w:after="120"/>
    </w:pPr>
  </w:style>
  <w:style w:type="paragraph" w:styleId="List">
    <w:name w:val="List"/>
    <w:basedOn w:val="BodyText"/>
    <w:rsid w:val="00D174CB"/>
  </w:style>
  <w:style w:type="paragraph" w:styleId="Caption">
    <w:name w:val="caption"/>
    <w:basedOn w:val="Normal"/>
    <w:qFormat/>
    <w:rsid w:val="00D174CB"/>
    <w:pPr>
      <w:suppressLineNumbers/>
      <w:spacing w:before="120" w:after="120"/>
    </w:pPr>
    <w:rPr>
      <w:i/>
      <w:iCs/>
    </w:rPr>
  </w:style>
  <w:style w:type="paragraph" w:customStyle="1" w:styleId="Index">
    <w:name w:val="Index"/>
    <w:basedOn w:val="Normal"/>
    <w:rsid w:val="00D174CB"/>
    <w:pPr>
      <w:suppressLineNumbers/>
    </w:pPr>
  </w:style>
  <w:style w:type="paragraph" w:customStyle="1" w:styleId="TableContents">
    <w:name w:val="Table Contents"/>
    <w:basedOn w:val="Normal"/>
    <w:rsid w:val="00D174CB"/>
    <w:pPr>
      <w:suppressLineNumbers/>
    </w:pPr>
  </w:style>
  <w:style w:type="paragraph" w:customStyle="1" w:styleId="TableHeading">
    <w:name w:val="Table Heading"/>
    <w:basedOn w:val="TableContents"/>
    <w:rsid w:val="00D174CB"/>
    <w:pPr>
      <w:jc w:val="center"/>
    </w:pPr>
    <w:rPr>
      <w:b/>
      <w:bCs/>
    </w:rPr>
  </w:style>
  <w:style w:type="paragraph" w:styleId="CommentText">
    <w:name w:val="annotation text"/>
    <w:basedOn w:val="Normal"/>
    <w:link w:val="CommentTextChar"/>
    <w:uiPriority w:val="99"/>
    <w:rsid w:val="00D174CB"/>
    <w:rPr>
      <w:sz w:val="20"/>
      <w:szCs w:val="20"/>
    </w:rPr>
  </w:style>
  <w:style w:type="paragraph" w:styleId="CommentSubject">
    <w:name w:val="annotation subject"/>
    <w:basedOn w:val="CommentText"/>
    <w:next w:val="CommentText"/>
    <w:rsid w:val="00D174CB"/>
    <w:rPr>
      <w:b/>
      <w:bCs/>
    </w:rPr>
  </w:style>
  <w:style w:type="paragraph" w:styleId="BalloonText">
    <w:name w:val="Balloon Text"/>
    <w:basedOn w:val="Normal"/>
    <w:rsid w:val="00D174CB"/>
    <w:rPr>
      <w:rFonts w:ascii="Tahoma" w:hAnsi="Tahoma"/>
      <w:sz w:val="16"/>
      <w:szCs w:val="16"/>
    </w:rPr>
  </w:style>
  <w:style w:type="paragraph" w:styleId="Header">
    <w:name w:val="header"/>
    <w:basedOn w:val="Normal"/>
    <w:link w:val="HeaderChar"/>
    <w:uiPriority w:val="99"/>
    <w:rsid w:val="00D174CB"/>
    <w:pPr>
      <w:tabs>
        <w:tab w:val="center" w:pos="4680"/>
        <w:tab w:val="right" w:pos="9360"/>
      </w:tabs>
    </w:pPr>
  </w:style>
  <w:style w:type="paragraph" w:styleId="Footer">
    <w:name w:val="footer"/>
    <w:basedOn w:val="Normal"/>
    <w:rsid w:val="00D174CB"/>
    <w:pPr>
      <w:tabs>
        <w:tab w:val="center" w:pos="4680"/>
        <w:tab w:val="right" w:pos="9360"/>
      </w:tabs>
    </w:pPr>
  </w:style>
  <w:style w:type="character" w:customStyle="1" w:styleId="CommentTextChar">
    <w:name w:val="Comment Text Char"/>
    <w:basedOn w:val="DefaultParagraphFont"/>
    <w:link w:val="CommentText"/>
    <w:uiPriority w:val="99"/>
    <w:rsid w:val="00D21806"/>
    <w:rPr>
      <w:rFonts w:eastAsia="SimSun" w:cs="Tahoma"/>
      <w:kern w:val="1"/>
      <w:lang w:val="en-US" w:eastAsia="he-IL" w:bidi="he-IL"/>
    </w:rPr>
  </w:style>
  <w:style w:type="table" w:styleId="TableGrid">
    <w:name w:val="Table Grid"/>
    <w:basedOn w:val="TableNormal"/>
    <w:uiPriority w:val="59"/>
    <w:rsid w:val="0049358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4594F"/>
    <w:rPr>
      <w:rFonts w:eastAsia="SimSun" w:cs="Tahoma"/>
      <w:kern w:val="1"/>
      <w:sz w:val="24"/>
      <w:szCs w:val="24"/>
      <w:lang w:val="en-US" w:eastAsia="he-IL" w:bidi="he-IL"/>
    </w:rPr>
  </w:style>
  <w:style w:type="character" w:customStyle="1" w:styleId="Heading1Char">
    <w:name w:val="Heading 1 Char"/>
    <w:basedOn w:val="DefaultParagraphFont"/>
    <w:link w:val="Heading1"/>
    <w:uiPriority w:val="9"/>
    <w:rsid w:val="002117EF"/>
    <w:rPr>
      <w:rFonts w:asciiTheme="majorHAnsi" w:eastAsiaTheme="majorEastAsia" w:hAnsiTheme="majorHAnsi" w:cstheme="majorBidi"/>
      <w:b/>
      <w:bCs/>
      <w:color w:val="365F91" w:themeColor="accent1" w:themeShade="BF"/>
      <w:kern w:val="1"/>
      <w:sz w:val="28"/>
      <w:szCs w:val="28"/>
      <w:lang w:val="en-US" w:eastAsia="he-IL" w:bidi="he-IL"/>
    </w:rPr>
  </w:style>
  <w:style w:type="character" w:styleId="LineNumber">
    <w:name w:val="line number"/>
    <w:basedOn w:val="DefaultParagraphFont"/>
    <w:uiPriority w:val="99"/>
    <w:semiHidden/>
    <w:unhideWhenUsed/>
    <w:rsid w:val="00CE6755"/>
  </w:style>
  <w:style w:type="character" w:customStyle="1" w:styleId="HeaderChar">
    <w:name w:val="Header Char"/>
    <w:basedOn w:val="DefaultParagraphFont"/>
    <w:link w:val="Header"/>
    <w:uiPriority w:val="99"/>
    <w:rsid w:val="000D159F"/>
    <w:rPr>
      <w:rFonts w:eastAsia="SimSun" w:cs="Tahoma"/>
      <w:kern w:val="1"/>
      <w:sz w:val="24"/>
      <w:szCs w:val="24"/>
      <w:lang w:val="en-US" w:eastAsia="he-IL" w:bidi="he-IL"/>
    </w:rPr>
  </w:style>
  <w:style w:type="paragraph" w:styleId="NormalWeb">
    <w:name w:val="Normal (Web)"/>
    <w:basedOn w:val="Normal"/>
    <w:uiPriority w:val="99"/>
    <w:unhideWhenUsed/>
    <w:rsid w:val="00684833"/>
    <w:pPr>
      <w:widowControl/>
      <w:suppressAutoHyphens w:val="0"/>
      <w:spacing w:before="100" w:beforeAutospacing="1" w:after="100" w:afterAutospacing="1"/>
    </w:pPr>
    <w:rPr>
      <w:rFonts w:eastAsia="Times New Roman" w:cs="Times New Roman"/>
      <w:kern w:val="0"/>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6478">
      <w:bodyDiv w:val="1"/>
      <w:marLeft w:val="0"/>
      <w:marRight w:val="0"/>
      <w:marTop w:val="0"/>
      <w:marBottom w:val="0"/>
      <w:divBdr>
        <w:top w:val="none" w:sz="0" w:space="0" w:color="auto"/>
        <w:left w:val="none" w:sz="0" w:space="0" w:color="auto"/>
        <w:bottom w:val="none" w:sz="0" w:space="0" w:color="auto"/>
        <w:right w:val="none" w:sz="0" w:space="0" w:color="auto"/>
      </w:divBdr>
    </w:div>
    <w:div w:id="442457268">
      <w:bodyDiv w:val="1"/>
      <w:marLeft w:val="0"/>
      <w:marRight w:val="0"/>
      <w:marTop w:val="0"/>
      <w:marBottom w:val="0"/>
      <w:divBdr>
        <w:top w:val="none" w:sz="0" w:space="0" w:color="auto"/>
        <w:left w:val="none" w:sz="0" w:space="0" w:color="auto"/>
        <w:bottom w:val="none" w:sz="0" w:space="0" w:color="auto"/>
        <w:right w:val="none" w:sz="0" w:space="0" w:color="auto"/>
      </w:divBdr>
    </w:div>
    <w:div w:id="634718864">
      <w:bodyDiv w:val="1"/>
      <w:marLeft w:val="0"/>
      <w:marRight w:val="0"/>
      <w:marTop w:val="0"/>
      <w:marBottom w:val="0"/>
      <w:divBdr>
        <w:top w:val="none" w:sz="0" w:space="0" w:color="auto"/>
        <w:left w:val="none" w:sz="0" w:space="0" w:color="auto"/>
        <w:bottom w:val="none" w:sz="0" w:space="0" w:color="auto"/>
        <w:right w:val="none" w:sz="0" w:space="0" w:color="auto"/>
      </w:divBdr>
    </w:div>
    <w:div w:id="668214913">
      <w:bodyDiv w:val="1"/>
      <w:marLeft w:val="0"/>
      <w:marRight w:val="0"/>
      <w:marTop w:val="0"/>
      <w:marBottom w:val="0"/>
      <w:divBdr>
        <w:top w:val="none" w:sz="0" w:space="0" w:color="auto"/>
        <w:left w:val="none" w:sz="0" w:space="0" w:color="auto"/>
        <w:bottom w:val="none" w:sz="0" w:space="0" w:color="auto"/>
        <w:right w:val="none" w:sz="0" w:space="0" w:color="auto"/>
      </w:divBdr>
    </w:div>
    <w:div w:id="880241657">
      <w:bodyDiv w:val="1"/>
      <w:marLeft w:val="0"/>
      <w:marRight w:val="0"/>
      <w:marTop w:val="0"/>
      <w:marBottom w:val="0"/>
      <w:divBdr>
        <w:top w:val="none" w:sz="0" w:space="0" w:color="auto"/>
        <w:left w:val="none" w:sz="0" w:space="0" w:color="auto"/>
        <w:bottom w:val="none" w:sz="0" w:space="0" w:color="auto"/>
        <w:right w:val="none" w:sz="0" w:space="0" w:color="auto"/>
      </w:divBdr>
    </w:div>
    <w:div w:id="891892330">
      <w:bodyDiv w:val="1"/>
      <w:marLeft w:val="0"/>
      <w:marRight w:val="0"/>
      <w:marTop w:val="0"/>
      <w:marBottom w:val="0"/>
      <w:divBdr>
        <w:top w:val="none" w:sz="0" w:space="0" w:color="auto"/>
        <w:left w:val="none" w:sz="0" w:space="0" w:color="auto"/>
        <w:bottom w:val="none" w:sz="0" w:space="0" w:color="auto"/>
        <w:right w:val="none" w:sz="0" w:space="0" w:color="auto"/>
      </w:divBdr>
    </w:div>
    <w:div w:id="1284577537">
      <w:bodyDiv w:val="1"/>
      <w:marLeft w:val="0"/>
      <w:marRight w:val="0"/>
      <w:marTop w:val="0"/>
      <w:marBottom w:val="0"/>
      <w:divBdr>
        <w:top w:val="none" w:sz="0" w:space="0" w:color="auto"/>
        <w:left w:val="none" w:sz="0" w:space="0" w:color="auto"/>
        <w:bottom w:val="none" w:sz="0" w:space="0" w:color="auto"/>
        <w:right w:val="none" w:sz="0" w:space="0" w:color="auto"/>
      </w:divBdr>
    </w:div>
    <w:div w:id="1436973830">
      <w:bodyDiv w:val="1"/>
      <w:marLeft w:val="0"/>
      <w:marRight w:val="0"/>
      <w:marTop w:val="0"/>
      <w:marBottom w:val="0"/>
      <w:divBdr>
        <w:top w:val="none" w:sz="0" w:space="0" w:color="auto"/>
        <w:left w:val="none" w:sz="0" w:space="0" w:color="auto"/>
        <w:bottom w:val="none" w:sz="0" w:space="0" w:color="auto"/>
        <w:right w:val="none" w:sz="0" w:space="0" w:color="auto"/>
      </w:divBdr>
    </w:div>
    <w:div w:id="1759521791">
      <w:bodyDiv w:val="1"/>
      <w:marLeft w:val="0"/>
      <w:marRight w:val="0"/>
      <w:marTop w:val="0"/>
      <w:marBottom w:val="0"/>
      <w:divBdr>
        <w:top w:val="none" w:sz="0" w:space="0" w:color="auto"/>
        <w:left w:val="none" w:sz="0" w:space="0" w:color="auto"/>
        <w:bottom w:val="none" w:sz="0" w:space="0" w:color="auto"/>
        <w:right w:val="none" w:sz="0" w:space="0" w:color="auto"/>
      </w:divBdr>
    </w:div>
    <w:div w:id="203857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http://dx.doi.org/10.1037/0033-2909.110.3.577" TargetMode="External"/><Relationship Id="rId21" Type="http://schemas.openxmlformats.org/officeDocument/2006/relationships/hyperlink" Target="http://dx.doi.org/10.1300/J082v52n03_06" TargetMode="External"/><Relationship Id="rId22" Type="http://schemas.openxmlformats.org/officeDocument/2006/relationships/hyperlink" Target="http://dx.doi.org/10.1086/297864" TargetMode="External"/><Relationship Id="rId23" Type="http://schemas.openxmlformats.org/officeDocument/2006/relationships/hyperlink" Target="http://dx.doi.org/10.1186/1479-5868-7-19"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chart" Target="charts/chart1.xml"/><Relationship Id="rId14" Type="http://schemas.openxmlformats.org/officeDocument/2006/relationships/hyperlink" Target="http://dx.doi.org/10.1080/08964289.2010.540263" TargetMode="External"/><Relationship Id="rId15" Type="http://schemas.openxmlformats.org/officeDocument/2006/relationships/hyperlink" Target="http://dx.doi.org/10.1056/NEJMsa066082" TargetMode="External"/><Relationship Id="rId16" Type="http://schemas.openxmlformats.org/officeDocument/2006/relationships/hyperlink" Target="http://dx.doi.org/10.1111/1467-9566.00151" TargetMode="External"/><Relationship Id="rId17" Type="http://schemas.openxmlformats.org/officeDocument/2006/relationships/hyperlink" Target="http://dx.doi.org/10.1001/jama.2009.2014" TargetMode="External"/><Relationship Id="rId18" Type="http://schemas.openxmlformats.org/officeDocument/2006/relationships/hyperlink" Target="http://dx.doi.org/10.1016/S0002-8223(01)00323-6" TargetMode="External"/><Relationship Id="rId19" Type="http://schemas.openxmlformats.org/officeDocument/2006/relationships/hyperlink" Target="http://www.nytimes.com/2007/05/08/health/08fat.html?_r=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0"/>
            <c:invertIfNegative val="0"/>
            <c:bubble3D val="0"/>
            <c:spPr>
              <a:solidFill>
                <a:schemeClr val="bg1">
                  <a:lumMod val="85000"/>
                </a:schemeClr>
              </a:solidFill>
            </c:spPr>
          </c:dPt>
          <c:dPt>
            <c:idx val="1"/>
            <c:invertIfNegative val="0"/>
            <c:bubble3D val="0"/>
            <c:spPr>
              <a:solidFill>
                <a:schemeClr val="bg1">
                  <a:lumMod val="75000"/>
                </a:schemeClr>
              </a:solidFill>
            </c:spPr>
          </c:dPt>
          <c:dPt>
            <c:idx val="2"/>
            <c:invertIfNegative val="0"/>
            <c:bubble3D val="0"/>
            <c:spPr>
              <a:solidFill>
                <a:schemeClr val="bg1">
                  <a:lumMod val="65000"/>
                </a:schemeClr>
              </a:solidFill>
            </c:spPr>
          </c:dPt>
          <c:errBars>
            <c:errBarType val="both"/>
            <c:errValType val="cust"/>
            <c:noEndCap val="0"/>
            <c:plus>
              <c:numLit>
                <c:formatCode>General</c:formatCode>
                <c:ptCount val="1"/>
                <c:pt idx="0">
                  <c:v>4.938</c:v>
                </c:pt>
              </c:numLit>
            </c:plus>
            <c:minus>
              <c:numLit>
                <c:formatCode>General</c:formatCode>
                <c:ptCount val="1"/>
                <c:pt idx="0">
                  <c:v>4.938</c:v>
                </c:pt>
              </c:numLit>
            </c:minus>
          </c:errBars>
          <c:cat>
            <c:strRef>
              <c:f>Sheet1!$A$1:$C$1</c:f>
              <c:strCache>
                <c:ptCount val="3"/>
                <c:pt idx="0">
                  <c:v>Genetic</c:v>
                </c:pt>
                <c:pt idx="1">
                  <c:v>Psychosocial</c:v>
                </c:pt>
                <c:pt idx="2">
                  <c:v>Control </c:v>
                </c:pt>
              </c:strCache>
            </c:strRef>
          </c:cat>
          <c:val>
            <c:numRef>
              <c:f>Sheet1!$A$2:$C$2</c:f>
              <c:numCache>
                <c:formatCode>General</c:formatCode>
                <c:ptCount val="3"/>
                <c:pt idx="0">
                  <c:v>51.98</c:v>
                </c:pt>
                <c:pt idx="1">
                  <c:v>33.14</c:v>
                </c:pt>
                <c:pt idx="2">
                  <c:v>37.02</c:v>
                </c:pt>
              </c:numCache>
            </c:numRef>
          </c:val>
        </c:ser>
        <c:dLbls>
          <c:showLegendKey val="0"/>
          <c:showVal val="0"/>
          <c:showCatName val="0"/>
          <c:showSerName val="0"/>
          <c:showPercent val="0"/>
          <c:showBubbleSize val="0"/>
        </c:dLbls>
        <c:gapWidth val="150"/>
        <c:axId val="-2078064264"/>
        <c:axId val="-2077860168"/>
      </c:barChart>
      <c:catAx>
        <c:axId val="-2078064264"/>
        <c:scaling>
          <c:orientation val="minMax"/>
        </c:scaling>
        <c:delete val="0"/>
        <c:axPos val="b"/>
        <c:title>
          <c:tx>
            <c:rich>
              <a:bodyPr/>
              <a:lstStyle/>
              <a:p>
                <a:pPr>
                  <a:defRPr sz="1400"/>
                </a:pPr>
                <a:r>
                  <a:rPr lang="en-US" sz="1400"/>
                  <a:t>Condition</a:t>
                </a:r>
              </a:p>
            </c:rich>
          </c:tx>
          <c:overlay val="0"/>
        </c:title>
        <c:majorTickMark val="out"/>
        <c:minorTickMark val="none"/>
        <c:tickLblPos val="nextTo"/>
        <c:crossAx val="-2077860168"/>
        <c:crosses val="autoZero"/>
        <c:auto val="1"/>
        <c:lblAlgn val="ctr"/>
        <c:lblOffset val="100"/>
        <c:noMultiLvlLbl val="0"/>
      </c:catAx>
      <c:valAx>
        <c:axId val="-2077860168"/>
        <c:scaling>
          <c:orientation val="minMax"/>
        </c:scaling>
        <c:delete val="0"/>
        <c:axPos val="l"/>
        <c:majorGridlines/>
        <c:title>
          <c:tx>
            <c:rich>
              <a:bodyPr rot="-5400000" vert="horz"/>
              <a:lstStyle/>
              <a:p>
                <a:pPr>
                  <a:defRPr/>
                </a:pPr>
                <a:r>
                  <a:rPr lang="en-US"/>
                  <a:t>Weight of cookies eaten (grams)</a:t>
                </a:r>
              </a:p>
            </c:rich>
          </c:tx>
          <c:overlay val="0"/>
        </c:title>
        <c:numFmt formatCode="General" sourceLinked="1"/>
        <c:majorTickMark val="out"/>
        <c:minorTickMark val="none"/>
        <c:tickLblPos val="nextTo"/>
        <c:crossAx val="-207806426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22E34E-D779-034F-B83F-36D78F621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8199</Words>
  <Characters>47393</Characters>
  <Application>Microsoft Macintosh Word</Application>
  <DocSecurity>0</DocSecurity>
  <Lines>686</Lines>
  <Paragraphs>173</Paragraphs>
  <ScaleCrop>false</ScaleCrop>
  <HeadingPairs>
    <vt:vector size="2" baseType="variant">
      <vt:variant>
        <vt:lpstr>Title</vt:lpstr>
      </vt:variant>
      <vt:variant>
        <vt:i4>1</vt:i4>
      </vt:variant>
    </vt:vector>
  </HeadingPairs>
  <TitlesOfParts>
    <vt:vector size="1" baseType="lpstr">
      <vt:lpstr>Introduction</vt:lpstr>
    </vt:vector>
  </TitlesOfParts>
  <Company>University of British Columbia</Company>
  <LinksUpToDate>false</LinksUpToDate>
  <CharactersWithSpaces>55419</CharactersWithSpaces>
  <SharedDoc>false</SharedDoc>
  <HLinks>
    <vt:vector size="108" baseType="variant">
      <vt:variant>
        <vt:i4>131099</vt:i4>
      </vt:variant>
      <vt:variant>
        <vt:i4>51</vt:i4>
      </vt:variant>
      <vt:variant>
        <vt:i4>0</vt:i4>
      </vt:variant>
      <vt:variant>
        <vt:i4>5</vt:i4>
      </vt:variant>
      <vt:variant>
        <vt:lpwstr>http://dx.doi.org/10.1038/ng.287</vt:lpwstr>
      </vt:variant>
      <vt:variant>
        <vt:lpwstr/>
      </vt:variant>
      <vt:variant>
        <vt:i4>6029377</vt:i4>
      </vt:variant>
      <vt:variant>
        <vt:i4>48</vt:i4>
      </vt:variant>
      <vt:variant>
        <vt:i4>0</vt:i4>
      </vt:variant>
      <vt:variant>
        <vt:i4>5</vt:i4>
      </vt:variant>
      <vt:variant>
        <vt:lpwstr>http://dx.doi.org/10.1186/1479-5868-7-19</vt:lpwstr>
      </vt:variant>
      <vt:variant>
        <vt:lpwstr/>
      </vt:variant>
      <vt:variant>
        <vt:i4>6160478</vt:i4>
      </vt:variant>
      <vt:variant>
        <vt:i4>45</vt:i4>
      </vt:variant>
      <vt:variant>
        <vt:i4>0</vt:i4>
      </vt:variant>
      <vt:variant>
        <vt:i4>5</vt:i4>
      </vt:variant>
      <vt:variant>
        <vt:lpwstr>http://dx.doi.org/10.1086/297864</vt:lpwstr>
      </vt:variant>
      <vt:variant>
        <vt:lpwstr/>
      </vt:variant>
      <vt:variant>
        <vt:i4>3735569</vt:i4>
      </vt:variant>
      <vt:variant>
        <vt:i4>42</vt:i4>
      </vt:variant>
      <vt:variant>
        <vt:i4>0</vt:i4>
      </vt:variant>
      <vt:variant>
        <vt:i4>5</vt:i4>
      </vt:variant>
      <vt:variant>
        <vt:lpwstr>http://dx.doi.org/10.1300/J082v52n03_06</vt:lpwstr>
      </vt:variant>
      <vt:variant>
        <vt:lpwstr/>
      </vt:variant>
      <vt:variant>
        <vt:i4>524380</vt:i4>
      </vt:variant>
      <vt:variant>
        <vt:i4>39</vt:i4>
      </vt:variant>
      <vt:variant>
        <vt:i4>0</vt:i4>
      </vt:variant>
      <vt:variant>
        <vt:i4>5</vt:i4>
      </vt:variant>
      <vt:variant>
        <vt:lpwstr>http://www.nytimes.com/2006/08/13/magazine/13obesity.html</vt:lpwstr>
      </vt:variant>
      <vt:variant>
        <vt:lpwstr/>
      </vt:variant>
      <vt:variant>
        <vt:i4>393239</vt:i4>
      </vt:variant>
      <vt:variant>
        <vt:i4>36</vt:i4>
      </vt:variant>
      <vt:variant>
        <vt:i4>0</vt:i4>
      </vt:variant>
      <vt:variant>
        <vt:i4>5</vt:i4>
      </vt:variant>
      <vt:variant>
        <vt:lpwstr>http://dx.doi.org/10.1038/ng.140</vt:lpwstr>
      </vt:variant>
      <vt:variant>
        <vt:lpwstr/>
      </vt:variant>
      <vt:variant>
        <vt:i4>1376329</vt:i4>
      </vt:variant>
      <vt:variant>
        <vt:i4>33</vt:i4>
      </vt:variant>
      <vt:variant>
        <vt:i4>0</vt:i4>
      </vt:variant>
      <vt:variant>
        <vt:i4>5</vt:i4>
      </vt:variant>
      <vt:variant>
        <vt:lpwstr>http://dx.doi.org/10.1038/ijo.2008.90</vt:lpwstr>
      </vt:variant>
      <vt:variant>
        <vt:lpwstr/>
      </vt:variant>
      <vt:variant>
        <vt:i4>3014761</vt:i4>
      </vt:variant>
      <vt:variant>
        <vt:i4>30</vt:i4>
      </vt:variant>
      <vt:variant>
        <vt:i4>0</vt:i4>
      </vt:variant>
      <vt:variant>
        <vt:i4>5</vt:i4>
      </vt:variant>
      <vt:variant>
        <vt:lpwstr>http://dx.doi.org/10.1038/oby.2001.102</vt:lpwstr>
      </vt:variant>
      <vt:variant>
        <vt:lpwstr/>
      </vt:variant>
      <vt:variant>
        <vt:i4>1835060</vt:i4>
      </vt:variant>
      <vt:variant>
        <vt:i4>27</vt:i4>
      </vt:variant>
      <vt:variant>
        <vt:i4>0</vt:i4>
      </vt:variant>
      <vt:variant>
        <vt:i4>5</vt:i4>
      </vt:variant>
      <vt:variant>
        <vt:lpwstr>http://www.nytimes.com/2007/05/08/health/08fat.html?_r=1</vt:lpwstr>
      </vt:variant>
      <vt:variant>
        <vt:lpwstr/>
      </vt:variant>
      <vt:variant>
        <vt:i4>7864383</vt:i4>
      </vt:variant>
      <vt:variant>
        <vt:i4>24</vt:i4>
      </vt:variant>
      <vt:variant>
        <vt:i4>0</vt:i4>
      </vt:variant>
      <vt:variant>
        <vt:i4>5</vt:i4>
      </vt:variant>
      <vt:variant>
        <vt:lpwstr>http://dx.doi.org/10.1016/S0002-8223(01)00323-6</vt:lpwstr>
      </vt:variant>
      <vt:variant>
        <vt:lpwstr/>
      </vt:variant>
      <vt:variant>
        <vt:i4>1638478</vt:i4>
      </vt:variant>
      <vt:variant>
        <vt:i4>21</vt:i4>
      </vt:variant>
      <vt:variant>
        <vt:i4>0</vt:i4>
      </vt:variant>
      <vt:variant>
        <vt:i4>5</vt:i4>
      </vt:variant>
      <vt:variant>
        <vt:lpwstr>http://dx.doi.org/10.1126/science.1141634</vt:lpwstr>
      </vt:variant>
      <vt:variant>
        <vt:lpwstr/>
      </vt:variant>
      <vt:variant>
        <vt:i4>4915273</vt:i4>
      </vt:variant>
      <vt:variant>
        <vt:i4>18</vt:i4>
      </vt:variant>
      <vt:variant>
        <vt:i4>0</vt:i4>
      </vt:variant>
      <vt:variant>
        <vt:i4>5</vt:i4>
      </vt:variant>
      <vt:variant>
        <vt:lpwstr>http://dx.doi.org/10.1001/jama.2009.2014</vt:lpwstr>
      </vt:variant>
      <vt:variant>
        <vt:lpwstr/>
      </vt:variant>
      <vt:variant>
        <vt:i4>4522051</vt:i4>
      </vt:variant>
      <vt:variant>
        <vt:i4>15</vt:i4>
      </vt:variant>
      <vt:variant>
        <vt:i4>0</vt:i4>
      </vt:variant>
      <vt:variant>
        <vt:i4>5</vt:i4>
      </vt:variant>
      <vt:variant>
        <vt:lpwstr>http://dx.doi.org/10.1111/1467-9566.00151</vt:lpwstr>
      </vt:variant>
      <vt:variant>
        <vt:lpwstr/>
      </vt:variant>
      <vt:variant>
        <vt:i4>7471166</vt:i4>
      </vt:variant>
      <vt:variant>
        <vt:i4>12</vt:i4>
      </vt:variant>
      <vt:variant>
        <vt:i4>0</vt:i4>
      </vt:variant>
      <vt:variant>
        <vt:i4>5</vt:i4>
      </vt:variant>
      <vt:variant>
        <vt:lpwstr>http://dx.doi.org/10.1525/sp.1997.44.2.03x0219k</vt:lpwstr>
      </vt:variant>
      <vt:variant>
        <vt:lpwstr/>
      </vt:variant>
      <vt:variant>
        <vt:i4>3866660</vt:i4>
      </vt:variant>
      <vt:variant>
        <vt:i4>9</vt:i4>
      </vt:variant>
      <vt:variant>
        <vt:i4>0</vt:i4>
      </vt:variant>
      <vt:variant>
        <vt:i4>5</vt:i4>
      </vt:variant>
      <vt:variant>
        <vt:lpwstr>http://dx.doi.org/10.1056/NEJMsa066082</vt:lpwstr>
      </vt:variant>
      <vt:variant>
        <vt:lpwstr/>
      </vt:variant>
      <vt:variant>
        <vt:i4>7733363</vt:i4>
      </vt:variant>
      <vt:variant>
        <vt:i4>6</vt:i4>
      </vt:variant>
      <vt:variant>
        <vt:i4>0</vt:i4>
      </vt:variant>
      <vt:variant>
        <vt:i4>5</vt:i4>
      </vt:variant>
      <vt:variant>
        <vt:lpwstr>http://dx.doi.org/10.1080/08964289.2010.540263</vt:lpwstr>
      </vt:variant>
      <vt:variant>
        <vt:lpwstr/>
      </vt:variant>
      <vt:variant>
        <vt:i4>1179763</vt:i4>
      </vt:variant>
      <vt:variant>
        <vt:i4>3</vt:i4>
      </vt:variant>
      <vt:variant>
        <vt:i4>0</vt:i4>
      </vt:variant>
      <vt:variant>
        <vt:i4>5</vt:i4>
      </vt:variant>
      <vt:variant>
        <vt:lpwstr>mailto:heine@psych.ubc.ca</vt:lpwstr>
      </vt:variant>
      <vt:variant>
        <vt:lpwstr/>
      </vt:variant>
      <vt:variant>
        <vt:i4>6357058</vt:i4>
      </vt:variant>
      <vt:variant>
        <vt:i4>0</vt:i4>
      </vt:variant>
      <vt:variant>
        <vt:i4>0</vt:i4>
      </vt:variant>
      <vt:variant>
        <vt:i4>5</vt:i4>
      </vt:variant>
      <vt:variant>
        <vt:lpwstr>mailto:%20ilan@psych.ubc.ca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Ilan Dar</dc:creator>
  <cp:lastModifiedBy>Steven</cp:lastModifiedBy>
  <cp:revision>4</cp:revision>
  <cp:lastPrinted>1901-01-01T08:00:00Z</cp:lastPrinted>
  <dcterms:created xsi:type="dcterms:W3CDTF">2014-06-30T19:32:00Z</dcterms:created>
  <dcterms:modified xsi:type="dcterms:W3CDTF">2014-06-30T19:46:00Z</dcterms:modified>
</cp:coreProperties>
</file>